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AA0B91" w:rsidRDefault="00E42FF3" w:rsidP="00AA0B91">
      <w:pPr>
        <w:pStyle w:val="En-tte"/>
        <w:tabs>
          <w:tab w:val="clear" w:pos="4536"/>
          <w:tab w:val="clear" w:pos="9072"/>
        </w:tabs>
        <w:spacing w:after="160" w:line="259" w:lineRule="auto"/>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580813E3" w14:textId="77777777" w:rsidR="006E4C40" w:rsidRPr="002714FC" w:rsidRDefault="006E4C40" w:rsidP="006E4C40">
      <w:pPr>
        <w:pStyle w:val="En-tte"/>
        <w:tabs>
          <w:tab w:val="clear" w:pos="4536"/>
          <w:tab w:val="clear" w:pos="9072"/>
        </w:tabs>
        <w:spacing w:after="160" w:line="259" w:lineRule="auto"/>
        <w:jc w:val="center"/>
        <w:rPr>
          <w:rFonts w:ascii="Arial Narrow" w:hAnsi="Arial Narrow"/>
          <w:sz w:val="28"/>
          <w:szCs w:val="28"/>
        </w:rPr>
      </w:pPr>
      <w:r w:rsidRPr="002714FC">
        <w:rPr>
          <w:rFonts w:ascii="Arial Narrow" w:hAnsi="Arial Narrow"/>
          <w:sz w:val="28"/>
          <w:szCs w:val="28"/>
        </w:rPr>
        <w:t xml:space="preserve">Marché de projection en </w:t>
      </w:r>
      <w:proofErr w:type="spellStart"/>
      <w:r w:rsidRPr="002714FC">
        <w:rPr>
          <w:rFonts w:ascii="Arial Narrow" w:hAnsi="Arial Narrow"/>
          <w:sz w:val="28"/>
          <w:szCs w:val="28"/>
        </w:rPr>
        <w:t>vidéomapping</w:t>
      </w:r>
      <w:proofErr w:type="spellEnd"/>
      <w:r w:rsidRPr="002714FC">
        <w:rPr>
          <w:rFonts w:ascii="Arial Narrow" w:hAnsi="Arial Narrow"/>
          <w:sz w:val="28"/>
          <w:szCs w:val="28"/>
        </w:rPr>
        <w:t xml:space="preserve"> sur la voûte et le tympan horloge dans la Nef du Musée d’Orsay dans le cadre du projet « architectures vivantes »</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5D530776"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6F92DAC" w14:textId="77777777" w:rsidR="00E42FF3" w:rsidRPr="00546FE0" w:rsidRDefault="00E42FF3" w:rsidP="00E42FF3">
      <w:pPr>
        <w:rPr>
          <w:rFonts w:ascii="Arial Narrow" w:hAnsi="Arial Narrow"/>
        </w:rPr>
      </w:pPr>
    </w:p>
    <w:p w14:paraId="505A12A6" w14:textId="77777777"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D8322E7"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08196D">
                  <w:rPr>
                    <w:rFonts w:ascii="Arial Narrow" w:hAnsi="Arial Narrow"/>
                    <w:sz w:val="22"/>
                    <w:szCs w:val="22"/>
                  </w:rPr>
                  <w:t>Services</w:t>
                </w:r>
              </w:sdtContent>
            </w:sdt>
          </w:p>
          <w:p w14:paraId="4CA1EB62" w14:textId="5AECD6E1"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D6587F">
              <w:rPr>
                <w:rFonts w:ascii="Arial Narrow" w:hAnsi="Arial Narrow"/>
              </w:rPr>
              <w:t>-FCS</w:t>
            </w:r>
          </w:p>
          <w:p w14:paraId="7ACFE896" w14:textId="65EFA999"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B25A9">
                  <w:rPr>
                    <w:rFonts w:ascii="Arial Narrow" w:hAnsi="Arial Narrow"/>
                  </w:rPr>
                  <w:t xml:space="preserve">- Procédure adaptée ouverte </w:t>
                </w:r>
                <w:r w:rsidR="004E3531">
                  <w:rPr>
                    <w:rFonts w:ascii="Arial Narrow" w:hAnsi="Arial Narrow"/>
                  </w:rPr>
                  <w:t xml:space="preserve">(services spécifiques) </w:t>
                </w:r>
                <w:r w:rsidR="005B25A9">
                  <w:rPr>
                    <w:rFonts w:ascii="Arial Narrow" w:hAnsi="Arial Narrow"/>
                  </w:rPr>
                  <w:t>en application des dispositions des articles L. 2123-1 et R. 2123-1 à R. 2123-7 du code de la commande publique</w:t>
                </w:r>
              </w:sdtContent>
            </w:sdt>
          </w:p>
          <w:p w14:paraId="151AC878" w14:textId="27EC5A6A"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08196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3849B395" w14:textId="399722A7" w:rsidR="0008196D" w:rsidRPr="00546FE0" w:rsidRDefault="0008196D" w:rsidP="0008196D">
      <w:pPr>
        <w:pStyle w:val="En-tte"/>
        <w:tabs>
          <w:tab w:val="clear" w:pos="4536"/>
          <w:tab w:val="clear" w:pos="9072"/>
        </w:tabs>
        <w:spacing w:after="120" w:line="360" w:lineRule="auto"/>
        <w:jc w:val="both"/>
        <w:rPr>
          <w:rFonts w:ascii="Arial Narrow" w:hAnsi="Arial Narrow"/>
        </w:rPr>
      </w:pPr>
    </w:p>
    <w:p w14:paraId="7E7B2F0C" w14:textId="7081AFE5" w:rsidR="0008196D" w:rsidRPr="00546FE0" w:rsidRDefault="0008196D" w:rsidP="0008196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OBJET DU MARCHE</w:t>
      </w:r>
    </w:p>
    <w:p w14:paraId="5BDB0B97"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l’EPMO et ses missions</w:t>
      </w:r>
    </w:p>
    <w:p w14:paraId="18803D29" w14:textId="77777777" w:rsidR="0008196D" w:rsidRPr="0008196D" w:rsidRDefault="0008196D" w:rsidP="0008196D">
      <w:pPr>
        <w:pStyle w:val="En-tte"/>
        <w:spacing w:after="120" w:line="360" w:lineRule="auto"/>
        <w:jc w:val="both"/>
        <w:rPr>
          <w:rFonts w:ascii="Arial Narrow" w:hAnsi="Arial Narrow"/>
        </w:rPr>
      </w:pPr>
      <w:r w:rsidRPr="0008196D">
        <w:rPr>
          <w:rFonts w:ascii="Arial Narrow" w:hAnsi="Arial Narrow"/>
        </w:rPr>
        <w:t xml:space="preserve">L’Etablissement public du musée d’Orsay et du musée de l’Orangerie (E.P.M.O.) – Valéry Giscard d’Estaing est un établissement public national à caractère administratif depuis le 1er janvier 2004, conformément au décret n°2003-1300 du 26 décembre 2003 (modifié), portant création de l’Etablissement public du musée d’Orsay et du musée de l’Orangerie. </w:t>
      </w:r>
    </w:p>
    <w:p w14:paraId="0AB70F9C" w14:textId="10F8D3DF" w:rsidR="0008196D" w:rsidRPr="0008196D" w:rsidRDefault="0008196D" w:rsidP="0008196D">
      <w:pPr>
        <w:pStyle w:val="En-tte"/>
        <w:spacing w:after="120" w:line="360" w:lineRule="auto"/>
        <w:jc w:val="both"/>
        <w:rPr>
          <w:rFonts w:ascii="Arial Narrow" w:hAnsi="Arial Narrow"/>
        </w:rPr>
      </w:pPr>
      <w:r w:rsidRPr="0008196D">
        <w:rPr>
          <w:rFonts w:ascii="Arial Narrow" w:hAnsi="Arial Narrow"/>
        </w:rPr>
        <w:t>Cet établissement regroupe le musée d’Orsay et le musée de l’Orangerie. Le musée de l’Orangerie a été intégré à l’établissement public par le déc</w:t>
      </w:r>
      <w:r w:rsidR="002E08C3">
        <w:rPr>
          <w:rFonts w:ascii="Arial Narrow" w:hAnsi="Arial Narrow"/>
        </w:rPr>
        <w:t>ret n° 2010-558 du 27 mai 2010.</w:t>
      </w: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2D8AAA2B" w14:textId="11A97444" w:rsidR="006E4C40" w:rsidRDefault="006E4C40" w:rsidP="006E4C40">
      <w:pPr>
        <w:pStyle w:val="Corpsdetexte"/>
        <w:spacing w:after="160" w:line="259" w:lineRule="auto"/>
        <w:rPr>
          <w:rFonts w:ascii="Arial Narrow" w:hAnsi="Arial Narrow"/>
        </w:rPr>
      </w:pPr>
      <w:r w:rsidRPr="006E4C40">
        <w:rPr>
          <w:rFonts w:ascii="Arial Narrow" w:hAnsi="Arial Narrow"/>
        </w:rPr>
        <w:t xml:space="preserve">Le présent marché concerne la diffusion d’un contenu en </w:t>
      </w:r>
      <w:proofErr w:type="spellStart"/>
      <w:r w:rsidRPr="006E4C40">
        <w:rPr>
          <w:rFonts w:ascii="Arial Narrow" w:hAnsi="Arial Narrow"/>
        </w:rPr>
        <w:t>mapping</w:t>
      </w:r>
      <w:proofErr w:type="spellEnd"/>
      <w:r w:rsidRPr="006E4C40">
        <w:rPr>
          <w:rFonts w:ascii="Arial Narrow" w:hAnsi="Arial Narrow"/>
        </w:rPr>
        <w:t xml:space="preserve"> vidéo sur la partie vitrée interne du musée côté horloge [appelée dans ce document tympan vitrée] et la voûte de la Nef du musée d’Orsay pour l’établissement Public des Musées d’Orsay et de l’Orangerie – Valéry Giscard d’Estaing (EPMO) dans le cadre du projet « architectures vivantes ». Il comprend une part forfaitaire (accompagnement administratif, étude technique préalable, implantation technique, diffusion, maintenance et démontage) et une part à commande (diffusion supplémentaire et maintenance complémentaire).</w:t>
      </w:r>
    </w:p>
    <w:p w14:paraId="2CDE0136" w14:textId="77777777" w:rsidR="005B25A9" w:rsidRPr="006E4C40" w:rsidRDefault="005B25A9" w:rsidP="006E4C40">
      <w:pPr>
        <w:pStyle w:val="Corpsdetexte"/>
        <w:spacing w:after="160" w:line="259" w:lineRule="auto"/>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5677A389" w14:textId="77777777" w:rsidR="006E4C40" w:rsidRDefault="0006022E" w:rsidP="004E3531">
      <w:pPr>
        <w:pStyle w:val="PuceN1"/>
        <w:numPr>
          <w:ilvl w:val="0"/>
          <w:numId w:val="0"/>
        </w:numPr>
        <w:rPr>
          <w:rFonts w:ascii="Arial Narrow" w:eastAsiaTheme="minorHAnsi" w:hAnsi="Arial Narrow" w:cstheme="minorBidi"/>
        </w:rPr>
      </w:pPr>
      <w:r w:rsidRPr="006E4C40">
        <w:rPr>
          <w:rFonts w:ascii="Arial Narrow" w:eastAsiaTheme="minorHAnsi" w:hAnsi="Arial Narrow" w:cstheme="minorBidi"/>
        </w:rPr>
        <w:t xml:space="preserve">La part forfaitaire de l’accord-cadre comprend les prestations </w:t>
      </w:r>
      <w:r w:rsidR="00A9460E" w:rsidRPr="006E4C40">
        <w:rPr>
          <w:rFonts w:ascii="Arial Narrow" w:eastAsiaTheme="minorHAnsi" w:hAnsi="Arial Narrow" w:cstheme="minorBidi"/>
        </w:rPr>
        <w:t xml:space="preserve">suivantes : </w:t>
      </w:r>
    </w:p>
    <w:p w14:paraId="356E2545" w14:textId="0311A1C5" w:rsidR="006E4C40" w:rsidRPr="006E4C40" w:rsidRDefault="006E4C40" w:rsidP="006E4C40">
      <w:pPr>
        <w:pStyle w:val="PuceN1"/>
        <w:numPr>
          <w:ilvl w:val="0"/>
          <w:numId w:val="0"/>
        </w:numPr>
        <w:ind w:left="720"/>
        <w:rPr>
          <w:rFonts w:ascii="Arial Narrow" w:eastAsiaTheme="minorHAnsi" w:hAnsi="Arial Narrow" w:cstheme="minorBidi"/>
        </w:rPr>
      </w:pPr>
      <w:r w:rsidRPr="006E4C40">
        <w:rPr>
          <w:rFonts w:ascii="Arial Narrow" w:eastAsiaTheme="minorHAnsi" w:hAnsi="Arial Narrow" w:cstheme="minorBidi"/>
        </w:rPr>
        <w:t>Accompagnement administratif ; Etudes techniques préalables.</w:t>
      </w:r>
    </w:p>
    <w:p w14:paraId="5D98929E" w14:textId="18B334F8" w:rsidR="006E4C40" w:rsidRPr="006E4C40" w:rsidRDefault="006E4C40" w:rsidP="006E4C40">
      <w:pPr>
        <w:pStyle w:val="PuceN1"/>
        <w:numPr>
          <w:ilvl w:val="0"/>
          <w:numId w:val="0"/>
        </w:numPr>
        <w:ind w:left="720" w:hanging="360"/>
        <w:rPr>
          <w:rFonts w:ascii="Arial Narrow" w:eastAsiaTheme="minorHAnsi" w:hAnsi="Arial Narrow" w:cstheme="minorBidi"/>
        </w:rPr>
      </w:pPr>
      <w:r>
        <w:rPr>
          <w:rFonts w:ascii="Arial Narrow" w:eastAsiaTheme="minorHAnsi" w:hAnsi="Arial Narrow" w:cstheme="minorBidi"/>
        </w:rPr>
        <w:tab/>
      </w:r>
      <w:r w:rsidRPr="006E4C40">
        <w:rPr>
          <w:rFonts w:ascii="Arial Narrow" w:eastAsiaTheme="minorHAnsi" w:hAnsi="Arial Narrow" w:cstheme="minorBidi"/>
        </w:rPr>
        <w:t>Implantation technique, planning prévisionnel : montage 19/01 (journée + soir), nuit du 19/01 : tests, réglages et répétitions : 20 et 21/01 en soirées. En parallèle, d’autres installations auront lieu pour le bon déroulement du spectacle dans son ensemble.</w:t>
      </w:r>
    </w:p>
    <w:p w14:paraId="413DAD56" w14:textId="6B383871" w:rsidR="006E4C40" w:rsidRPr="006E4C40" w:rsidRDefault="006E4C40" w:rsidP="006E4C40">
      <w:pPr>
        <w:pStyle w:val="PuceN1"/>
        <w:numPr>
          <w:ilvl w:val="0"/>
          <w:numId w:val="0"/>
        </w:numPr>
        <w:ind w:left="709"/>
        <w:rPr>
          <w:rFonts w:ascii="Arial Narrow" w:eastAsiaTheme="minorHAnsi" w:hAnsi="Arial Narrow" w:cstheme="minorBidi"/>
        </w:rPr>
      </w:pPr>
      <w:r>
        <w:rPr>
          <w:rFonts w:ascii="Arial Narrow" w:eastAsiaTheme="minorHAnsi" w:hAnsi="Arial Narrow" w:cstheme="minorBidi"/>
        </w:rPr>
        <w:tab/>
      </w:r>
      <w:r w:rsidRPr="006E4C40">
        <w:rPr>
          <w:rFonts w:ascii="Arial Narrow" w:eastAsiaTheme="minorHAnsi" w:hAnsi="Arial Narrow" w:cstheme="minorBidi"/>
        </w:rPr>
        <w:t>Diffusion du contenu sur la voûte et le tympan, soirs de jeux les 24 et 25/01/26. Générale le 23/01/26 au soir.</w:t>
      </w:r>
    </w:p>
    <w:p w14:paraId="762F9255" w14:textId="77777777" w:rsidR="006E4C40" w:rsidRPr="006E4C40" w:rsidRDefault="006E4C40" w:rsidP="006E4C40">
      <w:pPr>
        <w:pStyle w:val="PuceN1"/>
        <w:numPr>
          <w:ilvl w:val="0"/>
          <w:numId w:val="0"/>
        </w:numPr>
        <w:ind w:left="709"/>
        <w:rPr>
          <w:rFonts w:ascii="Arial Narrow" w:eastAsiaTheme="minorHAnsi" w:hAnsi="Arial Narrow" w:cstheme="minorBidi"/>
        </w:rPr>
      </w:pPr>
      <w:r w:rsidRPr="006E4C40">
        <w:rPr>
          <w:rFonts w:ascii="Arial Narrow" w:eastAsiaTheme="minorHAnsi" w:hAnsi="Arial Narrow" w:cstheme="minorBidi"/>
        </w:rPr>
        <w:t>Maintenance des éléments techniques implantés.</w:t>
      </w:r>
    </w:p>
    <w:p w14:paraId="1A0DBBC5" w14:textId="77777777" w:rsidR="006E4C40" w:rsidRPr="006E4C40" w:rsidRDefault="006E4C40" w:rsidP="006E4C40">
      <w:pPr>
        <w:pStyle w:val="PuceN1"/>
        <w:numPr>
          <w:ilvl w:val="0"/>
          <w:numId w:val="0"/>
        </w:numPr>
        <w:ind w:left="709"/>
        <w:rPr>
          <w:rFonts w:ascii="Arial Narrow" w:eastAsiaTheme="minorHAnsi" w:hAnsi="Arial Narrow" w:cstheme="minorBidi"/>
        </w:rPr>
      </w:pPr>
      <w:r w:rsidRPr="006E4C40">
        <w:rPr>
          <w:rFonts w:ascii="Arial Narrow" w:eastAsiaTheme="minorHAnsi" w:hAnsi="Arial Narrow" w:cstheme="minorBidi"/>
        </w:rPr>
        <w:t>Démontage et remise en état, le 26/01/26.</w:t>
      </w:r>
    </w:p>
    <w:p w14:paraId="1BE935D5" w14:textId="77777777" w:rsidR="006E4C40" w:rsidRPr="006E4C40" w:rsidRDefault="006E4C40" w:rsidP="006E4C40">
      <w:pPr>
        <w:pStyle w:val="PuceN1"/>
        <w:numPr>
          <w:ilvl w:val="0"/>
          <w:numId w:val="0"/>
        </w:numPr>
        <w:ind w:left="709"/>
        <w:rPr>
          <w:rFonts w:ascii="Arial Narrow" w:eastAsiaTheme="minorHAnsi" w:hAnsi="Arial Narrow" w:cstheme="minorBidi"/>
        </w:rPr>
      </w:pPr>
      <w:r w:rsidRPr="006E4C40">
        <w:rPr>
          <w:rFonts w:ascii="Arial Narrow" w:eastAsiaTheme="minorHAnsi" w:hAnsi="Arial Narrow" w:cstheme="minorBidi"/>
        </w:rPr>
        <w:t>Bilan de l’empreinte carbone de l’opération.</w:t>
      </w:r>
    </w:p>
    <w:p w14:paraId="66340CD4" w14:textId="03AF747D" w:rsidR="006E4C40" w:rsidRDefault="006E4C40" w:rsidP="0006022E">
      <w:pPr>
        <w:pStyle w:val="En-tte"/>
        <w:tabs>
          <w:tab w:val="clear" w:pos="4536"/>
          <w:tab w:val="clear" w:pos="9072"/>
        </w:tabs>
        <w:spacing w:after="120" w:line="360" w:lineRule="auto"/>
        <w:jc w:val="both"/>
        <w:rPr>
          <w:rFonts w:ascii="Arial Narrow" w:hAnsi="Arial Narrow"/>
        </w:rPr>
      </w:pPr>
    </w:p>
    <w:p w14:paraId="00ABF82C" w14:textId="501D7E97" w:rsidR="0006022E" w:rsidRDefault="00E34D67" w:rsidP="0006022E">
      <w:pPr>
        <w:pStyle w:val="En-tte"/>
        <w:tabs>
          <w:tab w:val="clear" w:pos="4536"/>
          <w:tab w:val="clear" w:pos="9072"/>
        </w:tabs>
        <w:spacing w:after="120" w:line="360" w:lineRule="auto"/>
        <w:jc w:val="both"/>
        <w:rPr>
          <w:rFonts w:ascii="Arial Narrow" w:hAnsi="Arial Narrow"/>
        </w:rPr>
      </w:pPr>
      <w:r>
        <w:rPr>
          <w:rFonts w:ascii="Arial Narrow" w:hAnsi="Arial Narrow"/>
        </w:rPr>
        <w:t>Le détail des prestations se trouve dans le CCTP.</w:t>
      </w:r>
    </w:p>
    <w:p w14:paraId="168E50CF" w14:textId="77777777" w:rsidR="006E4C40" w:rsidRPr="00546FE0" w:rsidRDefault="006E4C40"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0C676631" w14:textId="65F33833" w:rsidR="006E4C40" w:rsidRDefault="0006022E" w:rsidP="006E4C40">
      <w:pPr>
        <w:pStyle w:val="PuceN1"/>
        <w:numPr>
          <w:ilvl w:val="0"/>
          <w:numId w:val="0"/>
        </w:numPr>
        <w:rPr>
          <w:rFonts w:ascii="Arial Narrow" w:eastAsiaTheme="minorHAnsi" w:hAnsi="Arial Narrow" w:cstheme="minorBidi"/>
        </w:rPr>
      </w:pPr>
      <w:r w:rsidRPr="006E4C40">
        <w:rPr>
          <w:rFonts w:ascii="Arial Narrow" w:eastAsiaTheme="minorHAnsi" w:hAnsi="Arial Narrow" w:cstheme="minorBidi"/>
        </w:rPr>
        <w:lastRenderedPageBreak/>
        <w:t>Les bons de commande pourront porter sur une ou plusi</w:t>
      </w:r>
      <w:r w:rsidR="006E4C40" w:rsidRPr="006E4C40">
        <w:rPr>
          <w:rFonts w:ascii="Arial Narrow" w:eastAsiaTheme="minorHAnsi" w:hAnsi="Arial Narrow" w:cstheme="minorBidi"/>
        </w:rPr>
        <w:t xml:space="preserve">eurs des prestations suivantes relatives à </w:t>
      </w:r>
      <w:r w:rsidR="005B25A9">
        <w:rPr>
          <w:rFonts w:ascii="Arial Narrow" w:eastAsiaTheme="minorHAnsi" w:hAnsi="Arial Narrow" w:cstheme="minorBidi"/>
        </w:rPr>
        <w:t>de la diffusion supplémentaire et de la maintenance complémentaire.</w:t>
      </w:r>
    </w:p>
    <w:p w14:paraId="52846EC4" w14:textId="77777777" w:rsidR="006E4C40" w:rsidRPr="006E4C40" w:rsidRDefault="006E4C40" w:rsidP="006E4C40">
      <w:pPr>
        <w:pStyle w:val="PuceN1"/>
        <w:numPr>
          <w:ilvl w:val="0"/>
          <w:numId w:val="0"/>
        </w:numPr>
        <w:rPr>
          <w:rFonts w:ascii="Arial Narrow" w:eastAsiaTheme="minorHAnsi" w:hAnsi="Arial Narrow" w:cstheme="minorBidi"/>
        </w:rPr>
      </w:pPr>
    </w:p>
    <w:p w14:paraId="1C1C14B3" w14:textId="34A4CC49" w:rsidR="0006022E" w:rsidRPr="00546FE0" w:rsidRDefault="005B25A9" w:rsidP="006E4C40">
      <w:pPr>
        <w:pStyle w:val="En-tte"/>
        <w:tabs>
          <w:tab w:val="clear" w:pos="4536"/>
          <w:tab w:val="clear" w:pos="9072"/>
        </w:tabs>
        <w:spacing w:after="120" w:line="360" w:lineRule="auto"/>
        <w:jc w:val="both"/>
        <w:rPr>
          <w:rFonts w:ascii="Arial Narrow" w:hAnsi="Arial Narrow"/>
          <w:b/>
        </w:rPr>
      </w:pPr>
      <w:r>
        <w:rPr>
          <w:rFonts w:ascii="Arial Narrow" w:hAnsi="Arial Narrow"/>
          <w:b/>
        </w:rPr>
        <w:t xml:space="preserve">2.3 </w:t>
      </w:r>
      <w:r w:rsidR="0006022E" w:rsidRPr="00546FE0">
        <w:rPr>
          <w:rFonts w:ascii="Arial Narrow" w:hAnsi="Arial Narrow"/>
          <w:b/>
        </w:rPr>
        <w:t>Clause de non exclusivité</w:t>
      </w:r>
    </w:p>
    <w:p w14:paraId="7C52D19E" w14:textId="77777777" w:rsidR="009D63CC" w:rsidRPr="00546FE0" w:rsidRDefault="0006022E" w:rsidP="0006022E">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l’EPMO se réservant la possibilité de s’adresser à un prestataire extérieur dans les hypothèses alternatives suivantes :</w:t>
      </w:r>
      <w:r w:rsidR="009D63CC" w:rsidRPr="00546FE0">
        <w:rPr>
          <w:rFonts w:ascii="Arial Narrow" w:eastAsiaTheme="minorHAnsi" w:hAnsi="Arial Narrow" w:cstheme="minorBidi"/>
          <w:lang w:eastAsia="en-US"/>
        </w:rPr>
        <w:t xml:space="preserve"> </w:t>
      </w:r>
    </w:p>
    <w:p w14:paraId="1FA79B41" w14:textId="614048C0" w:rsidR="0006022E" w:rsidRPr="0023402D" w:rsidRDefault="0006022E" w:rsidP="00245388">
      <w:pPr>
        <w:pStyle w:val="Sansinterligne"/>
        <w:numPr>
          <w:ilvl w:val="0"/>
          <w:numId w:val="7"/>
        </w:numPr>
        <w:jc w:val="both"/>
        <w:rPr>
          <w:rFonts w:ascii="Arial Narrow" w:eastAsiaTheme="minorHAnsi" w:hAnsi="Arial Narrow" w:cstheme="minorBidi"/>
          <w:lang w:eastAsia="en-US"/>
        </w:rPr>
      </w:pPr>
      <w:r w:rsidRPr="0023402D">
        <w:rPr>
          <w:rFonts w:ascii="Arial Narrow" w:eastAsiaTheme="minorHAnsi" w:hAnsi="Arial Narrow" w:cstheme="minorBidi"/>
          <w:lang w:eastAsia="en-US"/>
        </w:rPr>
        <w:t>Incapacité du titulaire d’exécuter les prestations</w:t>
      </w:r>
      <w:r w:rsidR="0023402D">
        <w:rPr>
          <w:rFonts w:ascii="Arial Narrow" w:eastAsiaTheme="minorHAnsi" w:hAnsi="Arial Narrow" w:cstheme="minorBidi"/>
          <w:lang w:eastAsia="en-US"/>
        </w:rPr>
        <w:t> </w:t>
      </w:r>
    </w:p>
    <w:p w14:paraId="75B08E4B" w14:textId="24622B30" w:rsidR="00456998" w:rsidRPr="00546FE0" w:rsidRDefault="0045699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4E64DA80" w14:textId="5E212E8B"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le Directrice </w:t>
      </w:r>
      <w:r w:rsidR="006E4C40">
        <w:rPr>
          <w:rFonts w:ascii="Arial Narrow" w:hAnsi="Arial Narrow"/>
        </w:rPr>
        <w:t>de la programmation culturelle et des auditoriums (DPCA)</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habilité à cet effet.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778C4399" w14:textId="77777777"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111FDAF4" w14:textId="77777777" w:rsidR="00F740FC" w:rsidRPr="00546FE0" w:rsidRDefault="00F740FC" w:rsidP="00F740FC">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forfaitaire mentionné à l’article 5.1 de l’acte d’engagement.</w:t>
      </w:r>
    </w:p>
    <w:p w14:paraId="48551D1B" w14:textId="71488563" w:rsidR="005D555E" w:rsidRPr="0023402D" w:rsidRDefault="005D555E" w:rsidP="0023402D">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Modalités d’émission des bons de commande</w:t>
      </w:r>
    </w:p>
    <w:p w14:paraId="044A67AF"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41F7D8B0" w14:textId="7B274472" w:rsidR="00E34D67" w:rsidRPr="00E34D67" w:rsidRDefault="00E34D67" w:rsidP="00E34D67">
      <w:pPr>
        <w:pStyle w:val="En-tte"/>
        <w:spacing w:after="120" w:line="360" w:lineRule="auto"/>
        <w:jc w:val="both"/>
        <w:rPr>
          <w:rFonts w:ascii="Arial Narrow" w:hAnsi="Arial Narrow"/>
        </w:rPr>
      </w:pPr>
      <w:r w:rsidRPr="00E34D67">
        <w:rPr>
          <w:rFonts w:ascii="Arial Narrow" w:hAnsi="Arial Narrow"/>
        </w:rPr>
        <w:t>Par dérogation à l’article 3.7.2 du CCAG-</w:t>
      </w:r>
      <w:r w:rsidR="0046261F">
        <w:rPr>
          <w:rFonts w:ascii="Arial Narrow" w:hAnsi="Arial Narrow"/>
        </w:rPr>
        <w:t>FCS</w:t>
      </w:r>
      <w:r w:rsidRPr="00E34D67">
        <w:rPr>
          <w:rFonts w:ascii="Arial Narrow" w:hAnsi="Arial Narrow"/>
        </w:rPr>
        <w:t>, le Titulaire dispose d’un délai de cinq (5) jours calendaires pour présenter par écrit ses observations éventuelles au signataire des bons de commande, à compter de la réception de ces derniers.</w:t>
      </w:r>
    </w:p>
    <w:p w14:paraId="7BDFB89C" w14:textId="3550DD10" w:rsidR="005D555E" w:rsidRDefault="00E34D67" w:rsidP="00E34D67">
      <w:pPr>
        <w:pStyle w:val="En-tte"/>
        <w:tabs>
          <w:tab w:val="clear" w:pos="4536"/>
          <w:tab w:val="clear" w:pos="9072"/>
        </w:tabs>
        <w:spacing w:after="120" w:line="360" w:lineRule="auto"/>
        <w:jc w:val="both"/>
        <w:rPr>
          <w:rFonts w:ascii="Arial Narrow" w:hAnsi="Arial Narrow"/>
        </w:rPr>
      </w:pPr>
      <w:r w:rsidRPr="00E34D67">
        <w:rPr>
          <w:rFonts w:ascii="Arial Narrow" w:hAnsi="Arial Narrow"/>
        </w:rPr>
        <w:t>Les bons de commande seront notifiés par l’acheteur au fur et à mesure des besoins.</w:t>
      </w:r>
    </w:p>
    <w:p w14:paraId="7A3D8D12" w14:textId="77777777" w:rsidR="00E34D67" w:rsidRPr="00546FE0" w:rsidRDefault="00E34D67" w:rsidP="00E34D67">
      <w:pPr>
        <w:pStyle w:val="En-tte"/>
        <w:tabs>
          <w:tab w:val="clear" w:pos="4536"/>
          <w:tab w:val="clear" w:pos="9072"/>
        </w:tabs>
        <w:spacing w:after="120" w:line="360" w:lineRule="auto"/>
        <w:jc w:val="both"/>
        <w:rPr>
          <w:rFonts w:ascii="Arial Narrow" w:hAnsi="Arial Narrow"/>
        </w:rPr>
      </w:pPr>
    </w:p>
    <w:p w14:paraId="50BA40E4" w14:textId="3ABC38EB" w:rsidR="00347265" w:rsidRPr="00546FE0" w:rsidRDefault="00D5663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OPERATIONS DE VERIFICATION ET DE RECEPTION</w:t>
      </w:r>
    </w:p>
    <w:p w14:paraId="14584D5D" w14:textId="77DFBBDB" w:rsidR="00347265" w:rsidRPr="00546FE0" w:rsidRDefault="00D56635" w:rsidP="00D9355E">
      <w:pPr>
        <w:pStyle w:val="En-tte"/>
        <w:tabs>
          <w:tab w:val="clear" w:pos="4536"/>
          <w:tab w:val="clear" w:pos="9072"/>
        </w:tabs>
        <w:spacing w:after="120" w:line="360" w:lineRule="auto"/>
        <w:jc w:val="both"/>
        <w:rPr>
          <w:rFonts w:ascii="Arial Narrow" w:hAnsi="Arial Narrow"/>
        </w:rPr>
      </w:pPr>
      <w:r>
        <w:rPr>
          <w:rFonts w:ascii="Arial Narrow" w:hAnsi="Arial Narrow"/>
        </w:rPr>
        <w:t xml:space="preserve">Par dérogation aux articles </w:t>
      </w:r>
      <w:r w:rsidR="00060059">
        <w:rPr>
          <w:rFonts w:ascii="Arial Narrow" w:hAnsi="Arial Narrow"/>
        </w:rPr>
        <w:t>27 à 33</w:t>
      </w:r>
      <w:r>
        <w:rPr>
          <w:rFonts w:ascii="Arial Narrow" w:hAnsi="Arial Narrow"/>
        </w:rPr>
        <w:t xml:space="preserve"> du CCAG-</w:t>
      </w:r>
      <w:r w:rsidR="00060059">
        <w:rPr>
          <w:rFonts w:ascii="Arial Narrow" w:hAnsi="Arial Narrow"/>
        </w:rPr>
        <w:t>FCS</w:t>
      </w:r>
      <w:r>
        <w:rPr>
          <w:rFonts w:ascii="Arial Narrow" w:hAnsi="Arial Narrow"/>
        </w:rPr>
        <w:t xml:space="preserve">, les prestations seront vérifiées, selon les conditions suivantes : </w:t>
      </w:r>
    </w:p>
    <w:p w14:paraId="31AC634E" w14:textId="04FDCFAC" w:rsidR="000E1EA4" w:rsidRPr="000E1EA4" w:rsidRDefault="00D56635" w:rsidP="00D9355E">
      <w:pPr>
        <w:pStyle w:val="En-tte"/>
        <w:tabs>
          <w:tab w:val="clear" w:pos="4536"/>
          <w:tab w:val="clear" w:pos="9072"/>
        </w:tabs>
        <w:spacing w:after="120" w:line="360" w:lineRule="auto"/>
        <w:jc w:val="both"/>
        <w:rPr>
          <w:rFonts w:ascii="Arial Narrow" w:hAnsi="Arial Narrow"/>
          <w:b/>
        </w:rPr>
      </w:pPr>
      <w:r w:rsidRPr="00D56635">
        <w:rPr>
          <w:rFonts w:ascii="Arial Narrow" w:hAnsi="Arial Narrow"/>
          <w:b/>
        </w:rPr>
        <w:t>6.1 Opérations de vérification pour les prestations réalisées a</w:t>
      </w:r>
      <w:r w:rsidR="004E17AD">
        <w:rPr>
          <w:rFonts w:ascii="Arial Narrow" w:hAnsi="Arial Narrow"/>
          <w:b/>
        </w:rPr>
        <w:t>u titre de la part forfaitaire </w:t>
      </w:r>
    </w:p>
    <w:p w14:paraId="563AD5FF" w14:textId="633A12FD" w:rsidR="00597612" w:rsidRDefault="00060059" w:rsidP="00597612">
      <w:pPr>
        <w:pStyle w:val="En-tte"/>
        <w:tabs>
          <w:tab w:val="clear" w:pos="4536"/>
          <w:tab w:val="clear" w:pos="9072"/>
        </w:tabs>
        <w:spacing w:after="120" w:line="360" w:lineRule="auto"/>
        <w:jc w:val="both"/>
        <w:rPr>
          <w:rFonts w:ascii="Arial Narrow" w:hAnsi="Arial Narrow"/>
        </w:rPr>
      </w:pPr>
      <w:r>
        <w:rPr>
          <w:rFonts w:ascii="Arial Narrow" w:hAnsi="Arial Narrow"/>
        </w:rPr>
        <w:t xml:space="preserve">Pour chacune des phases énoncées dans la DPGF, l’EPMO-VGE </w:t>
      </w:r>
      <w:r w:rsidRPr="00060059">
        <w:rPr>
          <w:rFonts w:ascii="Arial Narrow" w:hAnsi="Arial Narrow"/>
        </w:rPr>
        <w:t xml:space="preserve">prononce l'admission des prestations, sous réserve des vices cachés, si elles répondent aux stipulations du marché. L'admission prend effet à la date de notification au titulaire de la décision d'admission ou en l'absence de décision, dans un délai de </w:t>
      </w:r>
      <w:r>
        <w:rPr>
          <w:rFonts w:ascii="Arial Narrow" w:hAnsi="Arial Narrow"/>
        </w:rPr>
        <w:t xml:space="preserve">dix </w:t>
      </w:r>
      <w:r w:rsidRPr="00060059">
        <w:rPr>
          <w:rFonts w:ascii="Arial Narrow" w:hAnsi="Arial Narrow"/>
        </w:rPr>
        <w:t>jours à dater de la livraison ou de l'achèvement de l'exécution du service.</w:t>
      </w:r>
      <w:r>
        <w:rPr>
          <w:rFonts w:ascii="Arial Narrow" w:hAnsi="Arial Narrow"/>
        </w:rPr>
        <w:t xml:space="preserve"> L’admission d’une phase enclenche automatiquement le démarrage des prestations de la phase suivante.</w:t>
      </w:r>
    </w:p>
    <w:p w14:paraId="45F7638E" w14:textId="77777777" w:rsidR="00F740FC" w:rsidRPr="00833A20" w:rsidRDefault="00F740FC" w:rsidP="00597612">
      <w:pPr>
        <w:pStyle w:val="En-tte"/>
        <w:tabs>
          <w:tab w:val="clear" w:pos="4536"/>
          <w:tab w:val="clear" w:pos="9072"/>
        </w:tabs>
        <w:spacing w:after="120" w:line="360" w:lineRule="auto"/>
        <w:jc w:val="both"/>
        <w:rPr>
          <w:rFonts w:ascii="Arial Narrow" w:hAnsi="Arial Narrow"/>
        </w:rPr>
      </w:pPr>
    </w:p>
    <w:p w14:paraId="7E97410A" w14:textId="2BD97602" w:rsidR="00833A20" w:rsidRDefault="00833A20" w:rsidP="00833A20">
      <w:pPr>
        <w:pStyle w:val="En-tte"/>
        <w:tabs>
          <w:tab w:val="clear" w:pos="4536"/>
          <w:tab w:val="clear" w:pos="9072"/>
        </w:tabs>
        <w:spacing w:after="120" w:line="360" w:lineRule="auto"/>
        <w:jc w:val="both"/>
        <w:rPr>
          <w:rFonts w:ascii="Arial Narrow" w:hAnsi="Arial Narrow"/>
        </w:rPr>
      </w:pPr>
      <w:r>
        <w:rPr>
          <w:rFonts w:ascii="Arial Narrow" w:hAnsi="Arial Narrow"/>
          <w:b/>
        </w:rPr>
        <w:lastRenderedPageBreak/>
        <w:t>6.2</w:t>
      </w:r>
      <w:r w:rsidRPr="00D56635">
        <w:rPr>
          <w:rFonts w:ascii="Arial Narrow" w:hAnsi="Arial Narrow"/>
          <w:b/>
        </w:rPr>
        <w:t xml:space="preserve"> Opérations de vérification pour les prestation</w:t>
      </w:r>
      <w:r>
        <w:rPr>
          <w:rFonts w:ascii="Arial Narrow" w:hAnsi="Arial Narrow"/>
          <w:b/>
        </w:rPr>
        <w:t>s réalisées au titre de la part à command</w:t>
      </w:r>
      <w:r w:rsidR="004E17AD">
        <w:rPr>
          <w:rFonts w:ascii="Arial Narrow" w:hAnsi="Arial Narrow"/>
          <w:b/>
        </w:rPr>
        <w:t>e.</w:t>
      </w:r>
    </w:p>
    <w:p w14:paraId="1784D762" w14:textId="458B088E" w:rsidR="00CC53FF" w:rsidRPr="0055597C" w:rsidRDefault="00CC53FF" w:rsidP="00CC53FF">
      <w:pPr>
        <w:pStyle w:val="Corpsdetexte"/>
        <w:rPr>
          <w:rFonts w:ascii="Arial Narrow" w:hAnsi="Arial Narrow"/>
        </w:rPr>
      </w:pPr>
      <w:r>
        <w:rPr>
          <w:rFonts w:ascii="Arial Narrow" w:hAnsi="Arial Narrow"/>
        </w:rPr>
        <w:t xml:space="preserve">Les prestations seront admises au fur et à mesure de leur exécution. </w:t>
      </w:r>
      <w:r w:rsidRPr="0055597C">
        <w:rPr>
          <w:rFonts w:ascii="Arial Narrow" w:hAnsi="Arial Narrow"/>
        </w:rPr>
        <w:t xml:space="preserve">Par dérogation à l’article </w:t>
      </w:r>
      <w:r w:rsidR="0046261F">
        <w:rPr>
          <w:rFonts w:ascii="Arial Narrow" w:hAnsi="Arial Narrow"/>
        </w:rPr>
        <w:t>28</w:t>
      </w:r>
      <w:r w:rsidRPr="0055597C">
        <w:rPr>
          <w:rFonts w:ascii="Arial Narrow" w:hAnsi="Arial Narrow"/>
        </w:rPr>
        <w:t xml:space="preserve"> du CCAG-</w:t>
      </w:r>
      <w:r w:rsidR="00060059">
        <w:rPr>
          <w:rFonts w:ascii="Arial Narrow" w:hAnsi="Arial Narrow"/>
        </w:rPr>
        <w:t>FCS</w:t>
      </w:r>
      <w:r w:rsidRPr="0055597C">
        <w:rPr>
          <w:rFonts w:ascii="Arial Narrow" w:hAnsi="Arial Narrow"/>
        </w:rPr>
        <w:t xml:space="preserve">, le service fait, mentionné sur la demande de paiement, vaut </w:t>
      </w:r>
      <w:r>
        <w:rPr>
          <w:rFonts w:ascii="Arial Narrow" w:hAnsi="Arial Narrow"/>
        </w:rPr>
        <w:t>admission</w:t>
      </w:r>
      <w:r w:rsidRPr="0055597C">
        <w:rPr>
          <w:rFonts w:ascii="Arial Narrow" w:hAnsi="Arial Narrow"/>
        </w:rPr>
        <w:t xml:space="preserve">. </w:t>
      </w:r>
    </w:p>
    <w:p w14:paraId="7EE3862E" w14:textId="34288E58" w:rsidR="00D56635" w:rsidRPr="00546FE0" w:rsidRDefault="00D56635"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70C64771" w14:textId="63D966F0" w:rsidR="0006305F"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w:t>
      </w:r>
      <w:r w:rsidR="0006305F">
        <w:rPr>
          <w:rFonts w:ascii="Arial Narrow" w:hAnsi="Arial Narrow"/>
        </w:rPr>
        <w:t>t fait application des articles</w:t>
      </w:r>
      <w:r w:rsidR="00CC53FF">
        <w:rPr>
          <w:rFonts w:ascii="Arial Narrow" w:hAnsi="Arial Narrow"/>
        </w:rPr>
        <w:t xml:space="preserve"> 5.1 et 5.2</w:t>
      </w:r>
      <w:r w:rsidRPr="00546FE0">
        <w:rPr>
          <w:rFonts w:ascii="Arial Narrow" w:hAnsi="Arial Narrow"/>
        </w:rPr>
        <w:t xml:space="preserve"> du CCAG-</w:t>
      </w:r>
      <w:r w:rsidR="006F00C4">
        <w:rPr>
          <w:rFonts w:ascii="Arial Narrow" w:hAnsi="Arial Narrow"/>
        </w:rPr>
        <w:t>FCS</w:t>
      </w:r>
      <w:r w:rsidR="002E4D87">
        <w:rPr>
          <w:rFonts w:ascii="Arial Narrow" w:hAnsi="Arial Narrow"/>
        </w:rPr>
        <w:t xml:space="preserve">. </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67D55B8B" w14:textId="0579060A" w:rsidR="00CC53FF" w:rsidRDefault="00CC53FF" w:rsidP="00DB7D60">
      <w:pPr>
        <w:pStyle w:val="En-tte"/>
        <w:tabs>
          <w:tab w:val="clear" w:pos="4536"/>
          <w:tab w:val="clear" w:pos="9072"/>
        </w:tabs>
        <w:spacing w:after="120" w:line="360" w:lineRule="auto"/>
        <w:ind w:firstLine="11"/>
        <w:jc w:val="both"/>
        <w:rPr>
          <w:rFonts w:ascii="Arial Narrow" w:hAnsi="Arial Narrow"/>
        </w:rPr>
      </w:pPr>
      <w:r w:rsidRPr="00546FE0">
        <w:rPr>
          <w:rFonts w:ascii="Arial Narrow" w:hAnsi="Arial Narrow"/>
        </w:rPr>
        <w:t>Il es</w:t>
      </w:r>
      <w:r>
        <w:rPr>
          <w:rFonts w:ascii="Arial Narrow" w:hAnsi="Arial Narrow"/>
        </w:rPr>
        <w:t>t fait application du chapitre 5.1 et 5.2</w:t>
      </w:r>
      <w:r w:rsidRPr="00546FE0">
        <w:rPr>
          <w:rFonts w:ascii="Arial Narrow" w:hAnsi="Arial Narrow"/>
        </w:rPr>
        <w:t xml:space="preserve"> du CCAG-</w:t>
      </w:r>
      <w:r w:rsidR="006F00C4">
        <w:rPr>
          <w:rFonts w:ascii="Arial Narrow" w:hAnsi="Arial Narrow"/>
        </w:rPr>
        <w:t>FCS</w:t>
      </w:r>
      <w:r w:rsidRPr="00546FE0">
        <w:rPr>
          <w:rFonts w:ascii="Arial Narrow" w:hAnsi="Arial Narrow"/>
        </w:rPr>
        <w:t>.</w:t>
      </w:r>
      <w:r w:rsidR="00DB7D60">
        <w:rPr>
          <w:rFonts w:ascii="Arial Narrow" w:hAnsi="Arial Narrow"/>
        </w:rPr>
        <w:t xml:space="preserve"> </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2648EFFB" w:rsidR="00EE65EC" w:rsidRPr="00546FE0" w:rsidRDefault="001E202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RSO </w:t>
      </w:r>
    </w:p>
    <w:p w14:paraId="4344D850" w14:textId="4C657D37" w:rsidR="001E2022" w:rsidRPr="001E2022" w:rsidRDefault="001E2022" w:rsidP="001E2022">
      <w:pPr>
        <w:pStyle w:val="En-tte"/>
        <w:tabs>
          <w:tab w:val="clear" w:pos="4536"/>
          <w:tab w:val="clear" w:pos="9072"/>
        </w:tabs>
        <w:spacing w:after="240" w:line="360" w:lineRule="auto"/>
        <w:ind w:left="360"/>
        <w:jc w:val="both"/>
        <w:rPr>
          <w:rFonts w:ascii="Arial Narrow" w:hAnsi="Arial Narrow"/>
          <w:b/>
        </w:rPr>
      </w:pPr>
      <w:r>
        <w:rPr>
          <w:rFonts w:ascii="Arial Narrow" w:hAnsi="Arial Narrow"/>
          <w:b/>
        </w:rPr>
        <w:t>9.1</w:t>
      </w:r>
      <w:r w:rsidRPr="001E2022">
        <w:rPr>
          <w:rFonts w:ascii="Arial Narrow" w:hAnsi="Arial Narrow"/>
          <w:b/>
        </w:rPr>
        <w:t>Développement durable</w:t>
      </w:r>
    </w:p>
    <w:p w14:paraId="5D14DF7D" w14:textId="5AB094AF" w:rsidR="002A271C" w:rsidRDefault="002A271C" w:rsidP="002A271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04CEA43E" w14:textId="77777777" w:rsidR="002A271C" w:rsidRPr="00546FE0" w:rsidRDefault="002A271C" w:rsidP="002A271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067F8C3C" w14:textId="77777777" w:rsidR="002A271C" w:rsidRDefault="002A271C" w:rsidP="002A271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74F7713C" w14:textId="506E39DB" w:rsidR="00EE65EC" w:rsidRPr="00546FE0" w:rsidRDefault="00EE65EC" w:rsidP="001E2022">
      <w:pPr>
        <w:pStyle w:val="En-tte"/>
        <w:numPr>
          <w:ilvl w:val="1"/>
          <w:numId w:val="26"/>
        </w:numPr>
        <w:tabs>
          <w:tab w:val="clear" w:pos="4536"/>
          <w:tab w:val="clear" w:pos="9072"/>
        </w:tabs>
        <w:spacing w:after="240" w:line="360" w:lineRule="auto"/>
        <w:jc w:val="both"/>
        <w:rPr>
          <w:rFonts w:ascii="Arial Narrow" w:hAnsi="Arial Narrow"/>
          <w:b/>
        </w:rPr>
      </w:pPr>
      <w:r w:rsidRPr="00546FE0">
        <w:rPr>
          <w:rFonts w:ascii="Arial Narrow" w:hAnsi="Arial Narrow"/>
          <w:b/>
        </w:rPr>
        <w:t>Insertion sociale</w:t>
      </w:r>
    </w:p>
    <w:p w14:paraId="53C004C7" w14:textId="75466DC3" w:rsidR="00EE65EC" w:rsidRPr="00CC53FF" w:rsidRDefault="00CC53FF" w:rsidP="00D9355E">
      <w:pPr>
        <w:pStyle w:val="En-tte"/>
        <w:tabs>
          <w:tab w:val="clear" w:pos="4536"/>
          <w:tab w:val="clear" w:pos="9072"/>
        </w:tabs>
        <w:spacing w:after="120" w:line="360" w:lineRule="auto"/>
        <w:jc w:val="both"/>
        <w:rPr>
          <w:rFonts w:ascii="Arial Narrow" w:hAnsi="Arial Narrow"/>
        </w:rPr>
      </w:pPr>
      <w:r>
        <w:rPr>
          <w:rFonts w:ascii="Arial Narrow" w:hAnsi="Arial Narrow"/>
        </w:rPr>
        <w:t>Il sera demandé au titulaire de concevoir une solution la plus accessible possible, en particulier pour les personnes porteuses de handicap, notamment visuel.</w:t>
      </w:r>
    </w:p>
    <w:p w14:paraId="00C771C6" w14:textId="14888F22" w:rsidR="00EE65EC" w:rsidRDefault="00EE65EC" w:rsidP="00D9355E">
      <w:pPr>
        <w:pStyle w:val="En-tte"/>
        <w:tabs>
          <w:tab w:val="clear" w:pos="4536"/>
          <w:tab w:val="clear" w:pos="9072"/>
        </w:tabs>
        <w:spacing w:after="120" w:line="360" w:lineRule="auto"/>
        <w:jc w:val="both"/>
        <w:rPr>
          <w:rFonts w:ascii="Arial Narrow" w:hAnsi="Arial Narrow"/>
        </w:rPr>
      </w:pPr>
    </w:p>
    <w:p w14:paraId="55E7C8A4" w14:textId="43455DC7" w:rsidR="00F740FC" w:rsidRDefault="00F740FC" w:rsidP="00D9355E">
      <w:pPr>
        <w:pStyle w:val="En-tte"/>
        <w:tabs>
          <w:tab w:val="clear" w:pos="4536"/>
          <w:tab w:val="clear" w:pos="9072"/>
        </w:tabs>
        <w:spacing w:after="120" w:line="360" w:lineRule="auto"/>
        <w:jc w:val="both"/>
        <w:rPr>
          <w:rFonts w:ascii="Arial Narrow" w:hAnsi="Arial Narrow"/>
        </w:rPr>
      </w:pPr>
    </w:p>
    <w:p w14:paraId="572B63D3" w14:textId="77777777" w:rsidR="00F740FC" w:rsidRPr="00546FE0" w:rsidRDefault="00F740F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0B4235BB" w14:textId="463AE83A" w:rsidR="00B42ED3" w:rsidRDefault="00B42ED3" w:rsidP="005A5DB4">
      <w:pPr>
        <w:pStyle w:val="En-tte"/>
        <w:spacing w:after="120" w:line="360" w:lineRule="auto"/>
        <w:jc w:val="both"/>
        <w:rPr>
          <w:rFonts w:ascii="Arial Narrow" w:hAnsi="Arial Narrow"/>
        </w:rPr>
      </w:pPr>
      <w:r w:rsidRPr="00CC53FF">
        <w:rPr>
          <w:rFonts w:ascii="Arial Narrow" w:hAnsi="Arial Narrow"/>
        </w:rPr>
        <w:t xml:space="preserve">Les prix des prestations sont des prix </w:t>
      </w:r>
      <w:r w:rsidR="00CC53FF" w:rsidRPr="00CC53FF">
        <w:rPr>
          <w:rFonts w:ascii="Arial Narrow" w:hAnsi="Arial Narrow"/>
        </w:rPr>
        <w:t xml:space="preserve">forfaitaires et </w:t>
      </w:r>
      <w:r w:rsidRPr="00CC53FF">
        <w:rPr>
          <w:rFonts w:ascii="Arial Narrow" w:hAnsi="Arial Narrow"/>
        </w:rPr>
        <w:t xml:space="preserve">unitaires. Ils sont </w:t>
      </w:r>
      <w:r w:rsidR="000C10A2" w:rsidRPr="00CC53FF">
        <w:rPr>
          <w:rFonts w:ascii="Arial Narrow" w:hAnsi="Arial Narrow"/>
        </w:rPr>
        <w:t xml:space="preserve">définitifs et </w:t>
      </w:r>
      <w:r w:rsidRPr="00CC53FF">
        <w:rPr>
          <w:rFonts w:ascii="Arial Narrow" w:hAnsi="Arial Narrow"/>
        </w:rPr>
        <w:t xml:space="preserve">réputés comprendre toutes les </w:t>
      </w:r>
      <w:r w:rsidR="00FE08C8" w:rsidRPr="00FE08C8">
        <w:rPr>
          <w:rFonts w:ascii="Arial Narrow" w:hAnsi="Arial Narrow"/>
        </w:rPr>
        <w:t>charges fiscales et parafiscales ou autres frappant obligatoirement les prestations, conformément aux</w:t>
      </w:r>
      <w:r w:rsidR="006F00C4">
        <w:rPr>
          <w:rFonts w:ascii="Arial Narrow" w:hAnsi="Arial Narrow"/>
        </w:rPr>
        <w:t xml:space="preserve"> dispositions de l’article 10</w:t>
      </w:r>
      <w:r w:rsidR="00FE08C8" w:rsidRPr="00FE08C8">
        <w:rPr>
          <w:rFonts w:ascii="Arial Narrow" w:hAnsi="Arial Narrow"/>
        </w:rPr>
        <w:t xml:space="preserve"> du CCAG-</w:t>
      </w:r>
      <w:r w:rsidR="006F00C4">
        <w:rPr>
          <w:rFonts w:ascii="Arial Narrow" w:hAnsi="Arial Narrow"/>
        </w:rPr>
        <w:t>FCS</w:t>
      </w:r>
      <w:r w:rsidR="00FE08C8">
        <w:rPr>
          <w:rFonts w:ascii="Arial Narrow" w:hAnsi="Arial Narrow"/>
        </w:rPr>
        <w:t>.</w:t>
      </w:r>
    </w:p>
    <w:p w14:paraId="28C8C954" w14:textId="4A5079DC" w:rsidR="000A20C3" w:rsidRPr="00517AFA" w:rsidRDefault="000A20C3" w:rsidP="00517AFA">
      <w:pPr>
        <w:pStyle w:val="Corpsdetexte3"/>
      </w:pPr>
      <w:r w:rsidRPr="00517AFA">
        <w:t>En complément d</w:t>
      </w:r>
      <w:r w:rsidR="006F00C4">
        <w:t>es dispositions de l’article 10</w:t>
      </w:r>
      <w:r w:rsidRPr="00517AFA">
        <w:t xml:space="preserve"> du CCAG-</w:t>
      </w:r>
      <w:r w:rsidR="006F00C4">
        <w:t>FCS</w:t>
      </w:r>
      <w:r w:rsidRPr="00517AFA">
        <w:t>, il est précisé que les prix du marché public incluent tous les frais résultant de l’exécution des prestations confiées au Titulaire. Ces frais incluent notamment :</w:t>
      </w:r>
    </w:p>
    <w:p w14:paraId="70009863" w14:textId="69207AAC" w:rsidR="000A20C3" w:rsidRPr="00517AFA" w:rsidRDefault="000A20C3" w:rsidP="000A20C3">
      <w:pPr>
        <w:numPr>
          <w:ilvl w:val="0"/>
          <w:numId w:val="24"/>
        </w:numPr>
        <w:suppressAutoHyphens/>
        <w:spacing w:after="0" w:line="240" w:lineRule="auto"/>
        <w:ind w:left="1134" w:right="425" w:hanging="283"/>
        <w:jc w:val="both"/>
        <w:rPr>
          <w:rFonts w:ascii="Arial Narrow" w:eastAsia="Calibri" w:hAnsi="Arial Narrow" w:cs="Arial"/>
          <w:szCs w:val="18"/>
          <w:lang w:eastAsia="fr-FR"/>
        </w:rPr>
      </w:pPr>
      <w:r w:rsidRPr="00517AFA">
        <w:rPr>
          <w:rFonts w:ascii="Arial Narrow" w:eastAsia="Calibri" w:hAnsi="Arial Narrow" w:cs="Arial"/>
          <w:szCs w:val="18"/>
          <w:lang w:eastAsia="fr-FR"/>
        </w:rPr>
        <w:t>Les travaux de secrétariat ;</w:t>
      </w:r>
    </w:p>
    <w:p w14:paraId="61E305A0" w14:textId="3EF7F7EA" w:rsidR="000A20C3" w:rsidRDefault="000A20C3" w:rsidP="000A20C3">
      <w:pPr>
        <w:numPr>
          <w:ilvl w:val="0"/>
          <w:numId w:val="24"/>
        </w:numPr>
        <w:suppressAutoHyphens/>
        <w:spacing w:after="0" w:line="240" w:lineRule="auto"/>
        <w:ind w:left="1134" w:right="425" w:hanging="283"/>
        <w:jc w:val="both"/>
        <w:rPr>
          <w:rFonts w:ascii="Arial Narrow" w:eastAsia="Calibri" w:hAnsi="Arial Narrow" w:cs="Arial"/>
          <w:szCs w:val="18"/>
          <w:lang w:eastAsia="fr-FR"/>
        </w:rPr>
      </w:pPr>
      <w:r w:rsidRPr="00517AFA">
        <w:rPr>
          <w:rFonts w:ascii="Arial Narrow" w:eastAsia="Calibri" w:hAnsi="Arial Narrow" w:cs="Arial"/>
          <w:szCs w:val="18"/>
          <w:lang w:eastAsia="fr-FR"/>
        </w:rPr>
        <w:t>Les frais de reproduction et de diffusion des documents que le Titulaire doit établir dans le cadre de ses prestations ;</w:t>
      </w:r>
    </w:p>
    <w:p w14:paraId="49EEA16D" w14:textId="77777777" w:rsidR="006F00C4" w:rsidRPr="00517AFA" w:rsidRDefault="006F00C4" w:rsidP="006F00C4">
      <w:pPr>
        <w:suppressAutoHyphens/>
        <w:spacing w:after="0" w:line="240" w:lineRule="auto"/>
        <w:ind w:left="1134" w:right="425"/>
        <w:jc w:val="both"/>
        <w:rPr>
          <w:rFonts w:ascii="Arial Narrow" w:eastAsia="Calibri" w:hAnsi="Arial Narrow" w:cs="Arial"/>
          <w:szCs w:val="18"/>
          <w:lang w:eastAsia="fr-FR"/>
        </w:rPr>
      </w:pPr>
    </w:p>
    <w:p w14:paraId="7E06BB55" w14:textId="622E505F" w:rsidR="000A20C3" w:rsidRPr="00CC53FF" w:rsidRDefault="000A20C3" w:rsidP="000A20C3">
      <w:pPr>
        <w:pStyle w:val="En-tte"/>
        <w:spacing w:after="120" w:line="360" w:lineRule="auto"/>
        <w:jc w:val="both"/>
        <w:rPr>
          <w:rFonts w:ascii="Arial Narrow" w:hAnsi="Arial Narrow"/>
          <w:i/>
        </w:rPr>
      </w:pPr>
      <w:r w:rsidRPr="00517AFA">
        <w:rPr>
          <w:rFonts w:ascii="Arial Narrow" w:eastAsia="Calibri" w:hAnsi="Arial Narrow" w:cs="Times New Roman"/>
        </w:rPr>
        <w:t>Les fournitures de bureaux, les matériels et logiciels informatiques nécessaires à la réalisation de ses prestations</w:t>
      </w:r>
      <w:r>
        <w:rPr>
          <w:rFonts w:ascii="Arial" w:eastAsia="Calibri" w:hAnsi="Arial" w:cs="Times New Roman"/>
          <w:sz w:val="20"/>
        </w:rPr>
        <w:t>.</w:t>
      </w:r>
    </w:p>
    <w:p w14:paraId="3F04FDB8" w14:textId="4FC7C132" w:rsidR="005A5DB4" w:rsidRPr="00546FE0" w:rsidRDefault="006F00C4" w:rsidP="005A5DB4">
      <w:pPr>
        <w:pStyle w:val="En-tte"/>
        <w:spacing w:after="120" w:line="360" w:lineRule="auto"/>
        <w:rPr>
          <w:rFonts w:ascii="Arial Narrow" w:hAnsi="Arial Narrow"/>
        </w:rPr>
      </w:pPr>
      <w:r>
        <w:rPr>
          <w:rFonts w:ascii="Arial Narrow" w:hAnsi="Arial Narrow"/>
        </w:rPr>
        <w:t>Les prix de ne sont pas révisables.</w:t>
      </w:r>
    </w:p>
    <w:p w14:paraId="031C11A6" w14:textId="77777777" w:rsidR="0014540C" w:rsidRPr="00546FE0" w:rsidRDefault="0014540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71D8420C" w14:textId="39925202" w:rsidR="0014540C" w:rsidRPr="005A5DB4" w:rsidRDefault="00C02FD0" w:rsidP="005A5DB4">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1B606D39" w14:textId="0A2918A9" w:rsidR="0014540C" w:rsidRPr="005A5DB4" w:rsidRDefault="0014540C" w:rsidP="005A5DB4">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w:t>
      </w:r>
      <w:r w:rsidRPr="000A20C3">
        <w:rPr>
          <w:rFonts w:ascii="Arial Narrow" w:hAnsi="Arial Narrow"/>
        </w:rPr>
        <w:t xml:space="preserve">l’article </w:t>
      </w:r>
      <w:r w:rsidRPr="000A20C3">
        <w:rPr>
          <w:rFonts w:ascii="Arial Narrow" w:hAnsi="Arial Narrow"/>
          <w:bCs/>
          <w:iCs/>
        </w:rPr>
        <w:t>11.1 du CCAG</w:t>
      </w:r>
      <w:r w:rsidR="005A5DB4" w:rsidRPr="000A20C3">
        <w:rPr>
          <w:rFonts w:ascii="Arial Narrow" w:hAnsi="Arial Narrow"/>
          <w:bCs/>
          <w:iCs/>
        </w:rPr>
        <w:t>-</w:t>
      </w:r>
      <w:r w:rsidR="0046261F">
        <w:rPr>
          <w:rFonts w:ascii="Arial Narrow" w:hAnsi="Arial Narrow"/>
          <w:bCs/>
          <w:iCs/>
        </w:rPr>
        <w:t>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5D4AD7C8" w14:textId="51DF4B7A" w:rsidR="004C5CF1" w:rsidRPr="00597407" w:rsidRDefault="00C02FD0"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14540C" w:rsidRPr="00597407">
        <w:rPr>
          <w:rFonts w:ascii="Arial Narrow" w:hAnsi="Arial Narrow"/>
          <w:b/>
        </w:rPr>
        <w:t xml:space="preserve">Paiement de la part forfaitaire </w:t>
      </w:r>
    </w:p>
    <w:p w14:paraId="29F524F1" w14:textId="7302F598" w:rsidR="00726545" w:rsidRPr="00726545" w:rsidRDefault="00597407" w:rsidP="00DD4A90">
      <w:pPr>
        <w:pStyle w:val="En-tte"/>
        <w:tabs>
          <w:tab w:val="clear" w:pos="4536"/>
          <w:tab w:val="clear" w:pos="9072"/>
        </w:tabs>
        <w:spacing w:after="240" w:line="360" w:lineRule="auto"/>
        <w:jc w:val="both"/>
        <w:rPr>
          <w:rFonts w:ascii="Arial Narrow" w:hAnsi="Arial Narrow"/>
        </w:rPr>
      </w:pPr>
      <w:r>
        <w:rPr>
          <w:rFonts w:ascii="Arial Narrow" w:hAnsi="Arial Narrow"/>
        </w:rPr>
        <w:t xml:space="preserve">Les prestations feront l’objet d’acomptes en fonction de l’état d’avancement des prestations </w:t>
      </w:r>
      <w:r w:rsidR="00DD4A90">
        <w:rPr>
          <w:rFonts w:ascii="Arial Narrow" w:hAnsi="Arial Narrow"/>
        </w:rPr>
        <w:t>pour chacune des phases détaillées dans la DPGF.</w:t>
      </w:r>
    </w:p>
    <w:p w14:paraId="25CFC6C5" w14:textId="6DB35B18"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080DC485" w:rsidR="004C5CF1" w:rsidRPr="00546FE0" w:rsidRDefault="004C5CF1" w:rsidP="001E2022">
      <w:pPr>
        <w:pStyle w:val="En-tte"/>
        <w:spacing w:after="120" w:line="360" w:lineRule="auto"/>
        <w:jc w:val="both"/>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r w:rsidR="00597407">
        <w:rPr>
          <w:rFonts w:ascii="Arial Narrow" w:hAnsi="Arial Narrow"/>
        </w:rPr>
        <w:t xml:space="preserve"> </w:t>
      </w:r>
      <w:r w:rsidR="00597407" w:rsidRPr="00597407">
        <w:rPr>
          <w:rFonts w:ascii="Arial Narrow" w:hAnsi="Arial Narrow"/>
        </w:rPr>
        <w:t xml:space="preserve">après service </w:t>
      </w:r>
      <w:r w:rsidR="000037C6" w:rsidRPr="00597407">
        <w:rPr>
          <w:rFonts w:ascii="Arial Narrow" w:hAnsi="Arial Narrow"/>
        </w:rPr>
        <w:t>fait.</w:t>
      </w:r>
    </w:p>
    <w:p w14:paraId="02C930A6" w14:textId="7498E0B1" w:rsidR="005413BD" w:rsidRPr="00546FE0" w:rsidRDefault="00C02FD0"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2A7E174F" w:rsidR="00367714" w:rsidRPr="00546FE0" w:rsidRDefault="00C02FD0"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lastRenderedPageBreak/>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F220B40"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date d’émission de la facture ;</w:t>
      </w:r>
    </w:p>
    <w:p w14:paraId="12C3650F" w14:textId="5816A570"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raison sociale, le n° SIRET, le n° de TVA intra-communautaire et l’adresse du titulaire ;</w:t>
      </w:r>
    </w:p>
    <w:p w14:paraId="6D08AF16" w14:textId="77D59805" w:rsidR="004C5CF1" w:rsidRPr="00546FE0" w:rsidRDefault="004C5CF1"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5835EBF4"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de la facture ;</w:t>
      </w:r>
    </w:p>
    <w:p w14:paraId="7071DCBD" w14:textId="27A9DE76"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du marché, du bon de commande ou du marché subséquent ;</w:t>
      </w:r>
    </w:p>
    <w:p w14:paraId="5B2E2550" w14:textId="3AC82125"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désignation des prestations effectuées ;</w:t>
      </w:r>
    </w:p>
    <w:p w14:paraId="145A4D99" w14:textId="2AAC5ED6"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H.T. détaillé des prestations et les quantités ; </w:t>
      </w:r>
    </w:p>
    <w:p w14:paraId="675FB0C2" w14:textId="31BEFBC7"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taux de TVA en vigueur et son montant ;</w:t>
      </w:r>
    </w:p>
    <w:p w14:paraId="5D0CFBEF" w14:textId="06CDD870" w:rsidR="006A63E0" w:rsidRPr="00546FE0" w:rsidRDefault="006A63E0"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total TTC des prestations ;</w:t>
      </w:r>
    </w:p>
    <w:p w14:paraId="5629EA85" w14:textId="21F4FDAE" w:rsidR="004C5CF1" w:rsidRPr="00546FE0" w:rsidRDefault="004C5CF1" w:rsidP="00DD4A90">
      <w:pPr>
        <w:pStyle w:val="En-tte"/>
        <w:numPr>
          <w:ilvl w:val="0"/>
          <w:numId w:val="24"/>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du compte bancaire du titulaire</w:t>
      </w:r>
      <w:r w:rsidR="006A63E0"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5D517A0C" w14:textId="77777777" w:rsidR="004C5CF1" w:rsidRPr="00597407" w:rsidRDefault="006A63E0" w:rsidP="004C5CF1">
      <w:pPr>
        <w:pStyle w:val="En-tte"/>
        <w:spacing w:after="120" w:line="360" w:lineRule="auto"/>
        <w:rPr>
          <w:rFonts w:ascii="Arial Narrow" w:hAnsi="Arial Narrow"/>
        </w:rPr>
      </w:pPr>
      <w:r w:rsidRPr="00546FE0">
        <w:rPr>
          <w:rFonts w:ascii="Arial Narrow" w:hAnsi="Arial Narrow"/>
        </w:rPr>
        <w:t xml:space="preserve">Les </w:t>
      </w:r>
      <w:r w:rsidRPr="00597407">
        <w:rPr>
          <w:rFonts w:ascii="Arial Narrow" w:hAnsi="Arial Narrow"/>
        </w:rPr>
        <w:t>factures</w:t>
      </w:r>
      <w:r w:rsidR="004C5CF1" w:rsidRPr="00597407">
        <w:rPr>
          <w:rFonts w:ascii="Arial Narrow" w:hAnsi="Arial Narrow"/>
        </w:rPr>
        <w:t xml:space="preserve"> sur </w:t>
      </w:r>
      <w:r w:rsidRPr="00597407">
        <w:rPr>
          <w:rFonts w:ascii="Arial Narrow" w:hAnsi="Arial Narrow"/>
        </w:rPr>
        <w:t xml:space="preserve">déposées sur </w:t>
      </w:r>
      <w:r w:rsidR="004C5CF1" w:rsidRPr="00597407">
        <w:rPr>
          <w:rFonts w:ascii="Arial Narrow" w:hAnsi="Arial Narrow"/>
        </w:rPr>
        <w:t xml:space="preserve">le portail Chorus Pro </w:t>
      </w:r>
      <w:r w:rsidRPr="00597407">
        <w:rPr>
          <w:rFonts w:ascii="Arial Narrow" w:hAnsi="Arial Narrow"/>
        </w:rPr>
        <w:t xml:space="preserve">à l’aide des </w:t>
      </w:r>
      <w:r w:rsidR="004C5CF1" w:rsidRPr="00597407">
        <w:rPr>
          <w:rFonts w:ascii="Arial Narrow" w:hAnsi="Arial Narrow"/>
        </w:rPr>
        <w:t xml:space="preserve">informations </w:t>
      </w:r>
      <w:r w:rsidRPr="00597407">
        <w:rPr>
          <w:rFonts w:ascii="Arial Narrow" w:hAnsi="Arial Narrow"/>
        </w:rPr>
        <w:t>suivantes</w:t>
      </w:r>
      <w:r w:rsidR="004C5CF1" w:rsidRPr="00597407">
        <w:rPr>
          <w:rFonts w:ascii="Arial Narrow" w:hAnsi="Arial Narrow"/>
        </w:rPr>
        <w:t xml:space="preserve"> :</w:t>
      </w:r>
    </w:p>
    <w:p w14:paraId="19C410DA" w14:textId="77777777" w:rsidR="004C5CF1" w:rsidRPr="00597407" w:rsidRDefault="004C5CF1" w:rsidP="00245388">
      <w:pPr>
        <w:pStyle w:val="En-tte"/>
        <w:numPr>
          <w:ilvl w:val="0"/>
          <w:numId w:val="13"/>
        </w:numPr>
        <w:spacing w:after="120" w:line="360" w:lineRule="auto"/>
        <w:jc w:val="both"/>
        <w:rPr>
          <w:rFonts w:ascii="Arial Narrow" w:hAnsi="Arial Narrow"/>
        </w:rPr>
      </w:pPr>
      <w:r w:rsidRPr="00597407">
        <w:rPr>
          <w:rFonts w:ascii="Arial Narrow" w:hAnsi="Arial Narrow"/>
        </w:rPr>
        <w:t xml:space="preserve">Le SIRET </w:t>
      </w:r>
      <w:r w:rsidR="006A63E0" w:rsidRPr="00597407">
        <w:rPr>
          <w:rFonts w:ascii="Arial Narrow" w:hAnsi="Arial Narrow"/>
        </w:rPr>
        <w:t xml:space="preserve">de l’EPMO : </w:t>
      </w:r>
      <w:r w:rsidR="003978C9" w:rsidRPr="00597407">
        <w:rPr>
          <w:rFonts w:ascii="Arial Narrow" w:hAnsi="Arial Narrow"/>
        </w:rPr>
        <w:t>180 092 447 00010</w:t>
      </w:r>
      <w:r w:rsidRPr="00597407">
        <w:rPr>
          <w:rFonts w:ascii="Arial Narrow" w:hAnsi="Arial Narrow"/>
        </w:rPr>
        <w:t> ;</w:t>
      </w:r>
    </w:p>
    <w:p w14:paraId="247B29F2" w14:textId="332D8FE3" w:rsidR="003978C9" w:rsidRPr="00597407" w:rsidRDefault="003978C9" w:rsidP="00245388">
      <w:pPr>
        <w:pStyle w:val="En-tte"/>
        <w:numPr>
          <w:ilvl w:val="0"/>
          <w:numId w:val="13"/>
        </w:numPr>
        <w:spacing w:after="120" w:line="360" w:lineRule="auto"/>
        <w:jc w:val="both"/>
        <w:rPr>
          <w:rFonts w:ascii="Arial Narrow" w:hAnsi="Arial Narrow"/>
          <w:i/>
        </w:rPr>
      </w:pPr>
      <w:proofErr w:type="gramStart"/>
      <w:r w:rsidRPr="00597407">
        <w:rPr>
          <w:rFonts w:ascii="Arial Narrow" w:hAnsi="Arial Narrow"/>
        </w:rPr>
        <w:t>le</w:t>
      </w:r>
      <w:proofErr w:type="gramEnd"/>
      <w:r w:rsidRPr="00597407">
        <w:rPr>
          <w:rFonts w:ascii="Arial Narrow" w:hAnsi="Arial Narrow"/>
        </w:rPr>
        <w:t xml:space="preserve"> code service qui sera mentionné dans le bon de commande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7777777" w:rsidR="007D159B" w:rsidRPr="00546FE0" w:rsidRDefault="007D15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40A3F625" w14:textId="73E3607E" w:rsidR="004A157C" w:rsidRDefault="0028050A" w:rsidP="006465DC">
      <w:pPr>
        <w:pStyle w:val="En-tte"/>
        <w:spacing w:after="120" w:line="360" w:lineRule="auto"/>
        <w:jc w:val="both"/>
        <w:rPr>
          <w:rFonts w:ascii="Arial Narrow" w:hAnsi="Arial Narrow"/>
        </w:rPr>
      </w:pPr>
      <w:r w:rsidRPr="00CF6BBC">
        <w:rPr>
          <w:rFonts w:ascii="Arial Narrow" w:hAnsi="Arial Narrow"/>
        </w:rPr>
        <w:t>L’intégralité des prestations fait l’objet d’une garantie dans les conditions fixées à l’article 3</w:t>
      </w:r>
      <w:r w:rsidR="0046261F">
        <w:rPr>
          <w:rFonts w:ascii="Arial Narrow" w:hAnsi="Arial Narrow"/>
        </w:rPr>
        <w:t>3</w:t>
      </w:r>
      <w:r w:rsidRPr="00CF6BBC">
        <w:rPr>
          <w:rFonts w:ascii="Arial Narrow" w:hAnsi="Arial Narrow"/>
        </w:rPr>
        <w:t xml:space="preserve"> du CCAG-</w:t>
      </w:r>
      <w:r w:rsidR="0046261F">
        <w:rPr>
          <w:rFonts w:ascii="Arial Narrow" w:hAnsi="Arial Narrow"/>
        </w:rPr>
        <w:t>FCS</w:t>
      </w:r>
      <w:r w:rsidRPr="00CF6BBC">
        <w:rPr>
          <w:rFonts w:ascii="Arial Narrow" w:hAnsi="Arial Narrow"/>
        </w:rPr>
        <w:t>.</w:t>
      </w:r>
    </w:p>
    <w:p w14:paraId="20E61F2E" w14:textId="77777777" w:rsidR="004E17AD" w:rsidRPr="00546FE0" w:rsidRDefault="004E17AD"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24381D0E"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46261F">
        <w:rPr>
          <w:rFonts w:ascii="Arial Narrow" w:hAnsi="Arial Narrow"/>
        </w:rPr>
        <w:t>FCS</w:t>
      </w:r>
      <w:r w:rsidRPr="00546FE0">
        <w:rPr>
          <w:rFonts w:ascii="Arial Narrow" w:hAnsi="Arial Narrow"/>
        </w:rPr>
        <w:t>, l’EPMO n’invitera pas préalablement le titulaire à présenter ses observations.</w:t>
      </w:r>
    </w:p>
    <w:p w14:paraId="0917736C" w14:textId="226BD86A"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46261F" w:rsidRPr="0046261F">
        <w:rPr>
          <w:rFonts w:ascii="Arial Narrow" w:hAnsi="Arial Narrow"/>
        </w:rPr>
        <w:t xml:space="preserve"> </w:t>
      </w:r>
      <w:r w:rsidR="0046261F">
        <w:rPr>
          <w:rFonts w:ascii="Arial Narrow" w:hAnsi="Arial Narrow"/>
        </w:rPr>
        <w:t>FCS</w:t>
      </w:r>
      <w:r w:rsidR="002F4374" w:rsidRPr="00546FE0">
        <w:rPr>
          <w:rFonts w:ascii="Arial Narrow" w:hAnsi="Arial Narrow"/>
        </w:rPr>
        <w:t>.</w:t>
      </w:r>
    </w:p>
    <w:p w14:paraId="63B3AAFB" w14:textId="580885EF" w:rsidR="002F4374"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p w14:paraId="15AFB5CE" w14:textId="0966D434" w:rsidR="0028050A" w:rsidRDefault="0028050A" w:rsidP="002F4374">
      <w:pPr>
        <w:pStyle w:val="En-tte"/>
        <w:spacing w:after="120" w:line="360" w:lineRule="auto"/>
        <w:rPr>
          <w:rFonts w:ascii="Arial Narrow" w:hAnsi="Arial Narrow"/>
          <w:b/>
        </w:rPr>
      </w:pPr>
      <w:r w:rsidRPr="0028050A">
        <w:rPr>
          <w:rFonts w:ascii="Arial Narrow" w:hAnsi="Arial Narrow"/>
          <w:b/>
        </w:rPr>
        <w:t>14.1 Pénalités pour retard</w:t>
      </w:r>
    </w:p>
    <w:p w14:paraId="48E7934D" w14:textId="16FA1844" w:rsidR="0028050A" w:rsidRDefault="00511388" w:rsidP="00511388">
      <w:pPr>
        <w:pStyle w:val="En-tte"/>
        <w:spacing w:after="120" w:line="360" w:lineRule="auto"/>
        <w:jc w:val="both"/>
        <w:rPr>
          <w:rFonts w:ascii="Arial Narrow" w:hAnsi="Arial Narrow"/>
        </w:rPr>
      </w:pPr>
      <w:r w:rsidRPr="00511388">
        <w:rPr>
          <w:rFonts w:ascii="Arial Narrow" w:hAnsi="Arial Narrow"/>
        </w:rPr>
        <w:t xml:space="preserve">Par dérogation à l’article 14 du </w:t>
      </w:r>
      <w:r w:rsidR="000D1360">
        <w:rPr>
          <w:rFonts w:ascii="Arial Narrow" w:hAnsi="Arial Narrow"/>
        </w:rPr>
        <w:t>C.C.A.G-</w:t>
      </w:r>
      <w:r w:rsidR="0046261F">
        <w:rPr>
          <w:rFonts w:ascii="Arial Narrow" w:hAnsi="Arial Narrow"/>
        </w:rPr>
        <w:t>FCS</w:t>
      </w:r>
      <w:r w:rsidRPr="00511388">
        <w:rPr>
          <w:rFonts w:ascii="Arial Narrow" w:hAnsi="Arial Narrow"/>
        </w:rPr>
        <w:t>., lorsque le</w:t>
      </w:r>
      <w:r>
        <w:rPr>
          <w:rFonts w:ascii="Arial Narrow" w:hAnsi="Arial Narrow"/>
        </w:rPr>
        <w:t>s</w:t>
      </w:r>
      <w:r w:rsidRPr="00511388">
        <w:rPr>
          <w:rFonts w:ascii="Arial Narrow" w:hAnsi="Arial Narrow"/>
        </w:rPr>
        <w:t xml:space="preserve"> délai</w:t>
      </w:r>
      <w:r>
        <w:rPr>
          <w:rFonts w:ascii="Arial Narrow" w:hAnsi="Arial Narrow"/>
        </w:rPr>
        <w:t>s</w:t>
      </w:r>
      <w:r w:rsidRPr="00511388">
        <w:rPr>
          <w:rFonts w:ascii="Arial Narrow" w:hAnsi="Arial Narrow"/>
        </w:rPr>
        <w:t xml:space="preserve"> d'exécution</w:t>
      </w:r>
      <w:r>
        <w:rPr>
          <w:rFonts w:ascii="Arial Narrow" w:hAnsi="Arial Narrow"/>
        </w:rPr>
        <w:t>s contractuels,</w:t>
      </w:r>
      <w:r w:rsidRPr="00511388">
        <w:rPr>
          <w:rFonts w:ascii="Arial Narrow" w:hAnsi="Arial Narrow"/>
        </w:rPr>
        <w:t xml:space="preserve"> défini</w:t>
      </w:r>
      <w:r>
        <w:rPr>
          <w:rFonts w:ascii="Arial Narrow" w:hAnsi="Arial Narrow"/>
        </w:rPr>
        <w:t>s dans le calendrier définitif, dans les ordres de service ou dans les bons de commande</w:t>
      </w:r>
      <w:r w:rsidRPr="00511388">
        <w:rPr>
          <w:rFonts w:ascii="Arial Narrow" w:hAnsi="Arial Narrow"/>
        </w:rPr>
        <w:t xml:space="preserve"> </w:t>
      </w:r>
      <w:r w:rsidR="00664413">
        <w:rPr>
          <w:rFonts w:ascii="Arial Narrow" w:hAnsi="Arial Narrow"/>
        </w:rPr>
        <w:t xml:space="preserve">sont dépassés par </w:t>
      </w:r>
      <w:r w:rsidRPr="00511388">
        <w:rPr>
          <w:rFonts w:ascii="Arial Narrow" w:hAnsi="Arial Narrow"/>
        </w:rPr>
        <w:t xml:space="preserve">le seul fait du titulaire, celui-ci encourt, par jour </w:t>
      </w:r>
      <w:r w:rsidR="00664413">
        <w:rPr>
          <w:rFonts w:ascii="Arial Narrow" w:hAnsi="Arial Narrow"/>
        </w:rPr>
        <w:t xml:space="preserve">calendaire </w:t>
      </w:r>
      <w:r w:rsidRPr="00511388">
        <w:rPr>
          <w:rFonts w:ascii="Arial Narrow" w:hAnsi="Arial Narrow"/>
        </w:rPr>
        <w:t xml:space="preserve">de retard et sans mise en demeure préalable, </w:t>
      </w:r>
      <w:r>
        <w:rPr>
          <w:rFonts w:ascii="Arial Narrow" w:hAnsi="Arial Narrow"/>
        </w:rPr>
        <w:t xml:space="preserve">d’une pénalité </w:t>
      </w:r>
      <w:r w:rsidRPr="00511388">
        <w:rPr>
          <w:rFonts w:ascii="Arial Narrow" w:hAnsi="Arial Narrow"/>
        </w:rPr>
        <w:t xml:space="preserve">de </w:t>
      </w:r>
      <w:r w:rsidR="002B3680">
        <w:rPr>
          <w:rFonts w:ascii="Arial Narrow" w:hAnsi="Arial Narrow"/>
        </w:rPr>
        <w:t>500</w:t>
      </w:r>
      <w:r>
        <w:rPr>
          <w:rFonts w:ascii="Arial Narrow" w:hAnsi="Arial Narrow"/>
        </w:rPr>
        <w:t>€ HT</w:t>
      </w:r>
      <w:r w:rsidRPr="00511388">
        <w:rPr>
          <w:rFonts w:ascii="Arial Narrow" w:hAnsi="Arial Narrow"/>
        </w:rPr>
        <w:t xml:space="preserve"> à compter de la date prévue pour l’achèvement des prestations.</w:t>
      </w:r>
    </w:p>
    <w:p w14:paraId="2DBC23E2" w14:textId="0DF7CF95" w:rsidR="006E196D" w:rsidRDefault="00E536EC" w:rsidP="00E536EC">
      <w:pPr>
        <w:pStyle w:val="En-tte"/>
        <w:spacing w:after="120" w:line="360" w:lineRule="auto"/>
        <w:jc w:val="both"/>
        <w:rPr>
          <w:rFonts w:ascii="Arial Narrow" w:hAnsi="Arial Narrow"/>
          <w:b/>
        </w:rPr>
      </w:pPr>
      <w:r>
        <w:rPr>
          <w:rFonts w:ascii="Arial Narrow" w:hAnsi="Arial Narrow"/>
          <w:b/>
        </w:rPr>
        <w:t>14.</w:t>
      </w:r>
      <w:r w:rsidR="002B3680">
        <w:rPr>
          <w:rFonts w:ascii="Arial Narrow" w:hAnsi="Arial Narrow"/>
          <w:b/>
        </w:rPr>
        <w:t>2</w:t>
      </w:r>
      <w:r>
        <w:rPr>
          <w:rFonts w:ascii="Arial Narrow" w:hAnsi="Arial Narrow"/>
          <w:b/>
        </w:rPr>
        <w:t xml:space="preserve"> Pénalités</w:t>
      </w:r>
      <w:r w:rsidR="006E196D" w:rsidRPr="006E196D">
        <w:rPr>
          <w:rFonts w:ascii="Arial Narrow" w:hAnsi="Arial Narrow"/>
          <w:b/>
        </w:rPr>
        <w:t xml:space="preserve"> en cas d’absence en réunion</w:t>
      </w:r>
    </w:p>
    <w:p w14:paraId="66D36670" w14:textId="15BCA011" w:rsidR="000D1360" w:rsidRDefault="006E196D" w:rsidP="000D1360">
      <w:pPr>
        <w:pStyle w:val="En-tte"/>
        <w:spacing w:after="120" w:line="360" w:lineRule="auto"/>
        <w:jc w:val="both"/>
        <w:rPr>
          <w:rFonts w:ascii="Arial Narrow" w:hAnsi="Arial Narrow"/>
        </w:rPr>
      </w:pPr>
      <w:r w:rsidRPr="006E196D">
        <w:rPr>
          <w:rFonts w:ascii="Arial Narrow" w:hAnsi="Arial Narrow"/>
        </w:rPr>
        <w:t>En</w:t>
      </w:r>
      <w:r>
        <w:rPr>
          <w:rFonts w:ascii="Arial Narrow" w:hAnsi="Arial Narrow"/>
          <w:b/>
        </w:rPr>
        <w:t xml:space="preserve"> </w:t>
      </w:r>
      <w:r w:rsidRPr="006E196D">
        <w:rPr>
          <w:rFonts w:ascii="Arial Narrow" w:hAnsi="Arial Narrow"/>
        </w:rPr>
        <w:t>cas d’absence à une réunion pour laquelle l’EPMO a convoqué le titulaire, une pénalité de 100 € HT sera appliquée par constatation.</w:t>
      </w:r>
    </w:p>
    <w:p w14:paraId="00555D7C" w14:textId="2F4D928C" w:rsidR="00F740FC" w:rsidRDefault="00F740FC" w:rsidP="000D1360">
      <w:pPr>
        <w:pStyle w:val="En-tte"/>
        <w:spacing w:after="120" w:line="360" w:lineRule="auto"/>
        <w:jc w:val="both"/>
        <w:rPr>
          <w:rFonts w:ascii="Arial Narrow" w:hAnsi="Arial Narrow"/>
        </w:rPr>
      </w:pPr>
    </w:p>
    <w:p w14:paraId="4DFBD75B" w14:textId="77777777" w:rsidR="00F740FC" w:rsidRPr="000D1360" w:rsidRDefault="00F740FC" w:rsidP="000D1360">
      <w:pPr>
        <w:pStyle w:val="En-tte"/>
        <w:spacing w:after="120" w:line="360" w:lineRule="auto"/>
        <w:jc w:val="both"/>
        <w:rPr>
          <w:rFonts w:ascii="Arial Narrow" w:hAnsi="Arial Narrow"/>
        </w:rPr>
      </w:pPr>
    </w:p>
    <w:p w14:paraId="275F35AC" w14:textId="244E37E6" w:rsidR="00D15584" w:rsidRPr="000D1360" w:rsidRDefault="000D1360" w:rsidP="000D1360">
      <w:pPr>
        <w:pStyle w:val="En-tte"/>
        <w:spacing w:after="120" w:line="360" w:lineRule="auto"/>
        <w:jc w:val="both"/>
        <w:rPr>
          <w:rFonts w:ascii="Arial Narrow" w:hAnsi="Arial Narrow"/>
        </w:rPr>
      </w:pPr>
      <w:r w:rsidRPr="000D1360">
        <w:rPr>
          <w:rFonts w:ascii="Arial Narrow" w:hAnsi="Arial Narrow"/>
          <w:b/>
        </w:rPr>
        <w:lastRenderedPageBreak/>
        <w:t>14.</w:t>
      </w:r>
      <w:r w:rsidR="002B3680">
        <w:rPr>
          <w:rFonts w:ascii="Arial Narrow" w:hAnsi="Arial Narrow"/>
          <w:b/>
        </w:rPr>
        <w:t>3</w:t>
      </w:r>
      <w:r>
        <w:rPr>
          <w:rFonts w:ascii="Arial Narrow" w:hAnsi="Arial Narrow"/>
        </w:rPr>
        <w:t xml:space="preserve"> </w:t>
      </w:r>
      <w:r w:rsidR="00D15584" w:rsidRPr="00D15584">
        <w:rPr>
          <w:rFonts w:ascii="Arial Narrow" w:hAnsi="Arial Narrow"/>
          <w:b/>
        </w:rPr>
        <w:t>Pénalités en cas de non-respect d’une obligation contractuelle</w:t>
      </w:r>
    </w:p>
    <w:p w14:paraId="5282F0B7" w14:textId="3D9D5069" w:rsidR="00D15584" w:rsidRPr="00D15584" w:rsidRDefault="000D1360" w:rsidP="00D15584">
      <w:pPr>
        <w:pStyle w:val="En-tte"/>
        <w:spacing w:after="120" w:line="360" w:lineRule="auto"/>
        <w:jc w:val="both"/>
        <w:rPr>
          <w:rFonts w:ascii="Arial Narrow" w:hAnsi="Arial Narrow"/>
        </w:rPr>
      </w:pPr>
      <w:r>
        <w:rPr>
          <w:rFonts w:ascii="Arial Narrow" w:hAnsi="Arial Narrow"/>
        </w:rPr>
        <w:t xml:space="preserve">En cas de non-respect d’une obligation </w:t>
      </w:r>
      <w:r w:rsidR="00D15584" w:rsidRPr="00D15584">
        <w:rPr>
          <w:rFonts w:ascii="Arial Narrow" w:hAnsi="Arial Narrow"/>
        </w:rPr>
        <w:t>contractuelle ne faisant pas l’objet d’une pénalité spécifique</w:t>
      </w:r>
      <w:r>
        <w:rPr>
          <w:rFonts w:ascii="Arial Narrow" w:hAnsi="Arial Narrow"/>
        </w:rPr>
        <w:t xml:space="preserve"> telle que précisée dans le CCAG-</w:t>
      </w:r>
      <w:r w:rsidR="0046261F" w:rsidRPr="0046261F">
        <w:rPr>
          <w:rFonts w:ascii="Arial Narrow" w:hAnsi="Arial Narrow"/>
        </w:rPr>
        <w:t xml:space="preserve"> </w:t>
      </w:r>
      <w:r w:rsidR="0046261F">
        <w:rPr>
          <w:rFonts w:ascii="Arial Narrow" w:hAnsi="Arial Narrow"/>
        </w:rPr>
        <w:t>FCS</w:t>
      </w:r>
      <w:r w:rsidR="00D15584" w:rsidRPr="00D15584">
        <w:rPr>
          <w:rFonts w:ascii="Arial Narrow" w:hAnsi="Arial Narrow"/>
        </w:rPr>
        <w:t>,</w:t>
      </w:r>
      <w:r>
        <w:rPr>
          <w:rFonts w:ascii="Arial Narrow" w:hAnsi="Arial Narrow"/>
        </w:rPr>
        <w:t xml:space="preserve"> une pénalité de 200€ HT sera appliquée à compter du 6ème jour suivant la mise en demeure adressée par l’EPMO, ce délai pouvant être ramené à 48 heures en cas d’urgence. La mise en demeure peut prendre la forme d’un simple courriel.</w:t>
      </w:r>
    </w:p>
    <w:p w14:paraId="4DBDE884" w14:textId="77777777" w:rsidR="002F4374" w:rsidRPr="00546FE0" w:rsidRDefault="002F4374" w:rsidP="002F4374">
      <w:pPr>
        <w:spacing w:after="0"/>
        <w:jc w:val="both"/>
        <w:rPr>
          <w:rFonts w:ascii="Arial Narrow" w:eastAsia="Calibri" w:hAnsi="Arial Narrow" w:cs="Arial"/>
          <w:sz w:val="20"/>
          <w:szCs w:val="20"/>
        </w:rPr>
      </w:pPr>
    </w:p>
    <w:p w14:paraId="3B232E4A" w14:textId="795855E2" w:rsidR="009B438E"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4CE3A527" w14:textId="77777777" w:rsidR="00F740FC" w:rsidRPr="00546FE0" w:rsidRDefault="00F740FC" w:rsidP="00FC4A03">
      <w:pPr>
        <w:pStyle w:val="En-tte"/>
        <w:spacing w:after="120" w:line="360" w:lineRule="auto"/>
        <w:jc w:val="both"/>
        <w:rPr>
          <w:rFonts w:ascii="Arial Narrow" w:hAnsi="Arial Narrow"/>
        </w:rPr>
      </w:pPr>
    </w:p>
    <w:p w14:paraId="090BA9A0" w14:textId="6DBF72B8"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l’acceptation de chaque sous-traitant ainsi que l’agrément de ses conditions de paiement. </w:t>
      </w:r>
    </w:p>
    <w:p w14:paraId="37F71F8C" w14:textId="58B6E3D4"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77777777"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l’EP</w:t>
      </w:r>
      <w:r w:rsidR="003F5F33" w:rsidRPr="00546FE0">
        <w:rPr>
          <w:rFonts w:ascii="Arial Narrow" w:hAnsi="Arial Narrow"/>
        </w:rPr>
        <w:t xml:space="preserve">MO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sous-traitées est supérieur à 600€ TTC, le sous-traitant est payé directement par l’EPMO.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22EBF45A" w14:textId="77777777" w:rsidR="00737BEB" w:rsidRPr="00737BEB" w:rsidRDefault="00737BEB" w:rsidP="00737BEB">
      <w:pPr>
        <w:pStyle w:val="En-tte"/>
        <w:spacing w:after="120" w:line="360" w:lineRule="auto"/>
        <w:jc w:val="both"/>
        <w:rPr>
          <w:rFonts w:ascii="Arial Narrow" w:hAnsi="Arial Narrow"/>
        </w:rPr>
      </w:pPr>
      <w:r w:rsidRPr="00737BEB">
        <w:rPr>
          <w:rFonts w:ascii="Arial Narrow" w:hAnsi="Arial Narrow"/>
        </w:rPr>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1A1E5BD" w14:textId="21B3B152" w:rsidR="00737BEB" w:rsidRDefault="00D719F2" w:rsidP="00737BEB">
      <w:pPr>
        <w:pStyle w:val="En-tte"/>
        <w:spacing w:after="120" w:line="360" w:lineRule="auto"/>
        <w:jc w:val="both"/>
        <w:rPr>
          <w:rFonts w:ascii="Arial Narrow" w:hAnsi="Arial Narrow"/>
        </w:rPr>
      </w:pPr>
      <w:hyperlink r:id="rId10" w:history="1">
        <w:r w:rsidR="00737BEB" w:rsidRPr="00F57C14">
          <w:rPr>
            <w:rStyle w:val="Lienhypertexte"/>
            <w:rFonts w:ascii="Arial Narrow" w:hAnsi="Arial Narrow"/>
          </w:rPr>
          <w:t>https://www.legifrance.gouv.fr/loda/id/JORFTEXT000038318472/</w:t>
        </w:r>
      </w:hyperlink>
    </w:p>
    <w:p w14:paraId="735E004C" w14:textId="3902206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06215E4E" w14:textId="77777777" w:rsidR="007909AC" w:rsidRPr="00F30726" w:rsidRDefault="007909AC" w:rsidP="007909AC">
      <w:pPr>
        <w:pStyle w:val="En-tte"/>
        <w:numPr>
          <w:ilvl w:val="0"/>
          <w:numId w:val="25"/>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492B914E"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C53D63">
        <w:rPr>
          <w:rFonts w:ascii="Arial Narrow" w:hAnsi="Arial Narrow"/>
        </w:rPr>
        <w:lastRenderedPageBreak/>
        <w:t>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w:t>
      </w:r>
    </w:p>
    <w:p w14:paraId="2772354E"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6373AE40"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67F0C0F0"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1A26A26A"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57316D36"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l’EPMO</w:t>
      </w:r>
      <w:r>
        <w:rPr>
          <w:rFonts w:ascii="Arial Narrow" w:hAnsi="Arial Narrow"/>
        </w:rPr>
        <w:t>-VGE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1E378D02" w14:textId="77777777" w:rsidR="007909AC" w:rsidRPr="00F30726" w:rsidRDefault="007909AC" w:rsidP="007909AC">
      <w:pPr>
        <w:pStyle w:val="En-tte"/>
        <w:numPr>
          <w:ilvl w:val="0"/>
          <w:numId w:val="2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542937C7"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l’EPMO</w:t>
      </w:r>
      <w:r>
        <w:rPr>
          <w:rFonts w:ascii="Arial Narrow" w:hAnsi="Arial Narrow"/>
        </w:rPr>
        <w:t>-VGE</w:t>
      </w:r>
      <w:r w:rsidRPr="00F30726">
        <w:rPr>
          <w:rFonts w:ascii="Arial Narrow" w:hAnsi="Arial Narrow"/>
        </w:rPr>
        <w:t xml:space="preserve"> si celui-ci en demande la communication, notamment à l’occasion des demandes d’acceptation de sous-traitants. </w:t>
      </w:r>
    </w:p>
    <w:p w14:paraId="4C4DB405" w14:textId="77777777" w:rsidR="007909AC" w:rsidRPr="00F30726" w:rsidRDefault="007909AC" w:rsidP="007909AC">
      <w:pPr>
        <w:pStyle w:val="En-tte"/>
        <w:numPr>
          <w:ilvl w:val="0"/>
          <w:numId w:val="2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l’EPMO</w:t>
      </w:r>
      <w:r>
        <w:rPr>
          <w:rFonts w:ascii="Arial Narrow" w:hAnsi="Arial Narrow"/>
        </w:rPr>
        <w:t>-VGE</w:t>
      </w:r>
      <w:r w:rsidRPr="00F30726">
        <w:rPr>
          <w:rFonts w:ascii="Arial Narrow" w:hAnsi="Arial Narrow"/>
        </w:rPr>
        <w:t xml:space="preserve"> de signaler tout manquement aux principes d’égalité, de neutralité et de laïcité constaté au cours de l’exécution du marché.  </w:t>
      </w:r>
    </w:p>
    <w:p w14:paraId="5BFFFEC7" w14:textId="77777777" w:rsidR="007909AC" w:rsidRPr="00F30726" w:rsidRDefault="007909AC" w:rsidP="007909AC">
      <w:pPr>
        <w:pStyle w:val="En-tte"/>
        <w:tabs>
          <w:tab w:val="clear" w:pos="4536"/>
          <w:tab w:val="center" w:pos="284"/>
        </w:tabs>
        <w:spacing w:after="120" w:line="360" w:lineRule="auto"/>
        <w:jc w:val="both"/>
        <w:rPr>
          <w:rFonts w:ascii="Arial Narrow" w:hAnsi="Arial Narrow"/>
        </w:rPr>
      </w:pPr>
      <w:r w:rsidRPr="00F30726">
        <w:rPr>
          <w:rFonts w:ascii="Arial Narrow" w:hAnsi="Arial Narrow"/>
        </w:rPr>
        <w:t>L’EPMO</w:t>
      </w:r>
      <w:r>
        <w:rPr>
          <w:rFonts w:ascii="Arial Narrow" w:hAnsi="Arial Narrow"/>
        </w:rPr>
        <w:t>-VGE</w:t>
      </w:r>
      <w:r w:rsidRPr="00F30726">
        <w:rPr>
          <w:rFonts w:ascii="Arial Narrow" w:hAnsi="Arial Narrow"/>
        </w:rPr>
        <w:t xml:space="preserve"> informe le titulaire, ou est informé par le titulaire sans délai de tout manquement à ces princip</w:t>
      </w:r>
      <w:r>
        <w:rPr>
          <w:rFonts w:ascii="Arial Narrow" w:hAnsi="Arial Narrow"/>
        </w:rPr>
        <w:t xml:space="preserve">es. Le titulaire informe l’EPMO-VGE </w:t>
      </w:r>
      <w:r w:rsidRPr="00F30726">
        <w:rPr>
          <w:rFonts w:ascii="Arial Narrow" w:hAnsi="Arial Narrow"/>
        </w:rPr>
        <w:t xml:space="preserve">des mesures prises pour y remédier. </w:t>
      </w:r>
    </w:p>
    <w:p w14:paraId="06DE05C4" w14:textId="77777777" w:rsidR="007909AC" w:rsidRPr="00F30726" w:rsidRDefault="007909AC" w:rsidP="007909AC">
      <w:pPr>
        <w:pStyle w:val="En-tte"/>
        <w:numPr>
          <w:ilvl w:val="0"/>
          <w:numId w:val="25"/>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l’EPMO</w:t>
      </w:r>
      <w:r>
        <w:rPr>
          <w:rFonts w:ascii="Arial Narrow" w:hAnsi="Arial Narrow"/>
        </w:rPr>
        <w:t>-VGE</w:t>
      </w:r>
      <w:r w:rsidRPr="00F30726">
        <w:rPr>
          <w:rFonts w:ascii="Arial Narrow" w:hAnsi="Arial Narrow"/>
        </w:rPr>
        <w:t xml:space="preserve"> tout document ou outil de suivi des mesures destinées à assurer l’application des principes de laïcité et de neutralité. </w:t>
      </w:r>
    </w:p>
    <w:p w14:paraId="0E8FF225" w14:textId="77777777" w:rsidR="007909AC" w:rsidRPr="00F30726" w:rsidRDefault="007909AC" w:rsidP="007909AC">
      <w:pPr>
        <w:pStyle w:val="En-tte"/>
        <w:numPr>
          <w:ilvl w:val="0"/>
          <w:numId w:val="25"/>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l’EPMO</w:t>
      </w:r>
      <w:r>
        <w:rPr>
          <w:rFonts w:ascii="Arial Narrow" w:hAnsi="Arial Narrow"/>
        </w:rPr>
        <w:t>-VGE</w:t>
      </w:r>
      <w:r w:rsidRPr="00F30726">
        <w:rPr>
          <w:rFonts w:ascii="Arial Narrow" w:hAnsi="Arial Narrow"/>
        </w:rPr>
        <w:t xml:space="preserve"> prononce : </w:t>
      </w:r>
    </w:p>
    <w:p w14:paraId="434922EC" w14:textId="77777777" w:rsidR="007909AC" w:rsidRPr="00F30726" w:rsidRDefault="007909AC" w:rsidP="007909AC">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w:t>
      </w:r>
      <w:r w:rsidRPr="00F30726">
        <w:rPr>
          <w:rFonts w:ascii="Arial Narrow" w:hAnsi="Arial Narrow"/>
        </w:rPr>
        <w:lastRenderedPageBreak/>
        <w:t>de la liberté de conscience et de la dignité de toutes les personnes. Cette pénalité s’applique par manquement constaté ;</w:t>
      </w:r>
    </w:p>
    <w:p w14:paraId="67CD9B63" w14:textId="77777777" w:rsidR="007909AC" w:rsidRPr="00F30726" w:rsidRDefault="007909AC" w:rsidP="007909AC">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5CF1522" w14:textId="77777777" w:rsidR="007909AC" w:rsidRPr="00F30726" w:rsidRDefault="007909AC" w:rsidP="007909AC">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046A8FF9" w14:textId="77777777" w:rsidR="007909AC" w:rsidRPr="00F30726" w:rsidRDefault="007909AC" w:rsidP="007909AC">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721F60A" w14:textId="77777777" w:rsidR="007909AC" w:rsidRDefault="007909AC" w:rsidP="007909AC">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Pr="000C5D19">
        <w:rPr>
          <w:rFonts w:ascii="Arial Narrow" w:hAnsi="Arial Narrow"/>
        </w:rPr>
        <w:t>41 du CCAG-FCS</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w:t>
      </w:r>
      <w:r>
        <w:rPr>
          <w:rFonts w:ascii="Arial Narrow" w:hAnsi="Arial Narrow"/>
        </w:rPr>
        <w:t>41</w:t>
      </w:r>
      <w:r w:rsidRPr="00F30726">
        <w:rPr>
          <w:rFonts w:ascii="Arial Narrow" w:hAnsi="Arial Narrow"/>
        </w:rPr>
        <w:t xml:space="preserve"> du CCAG-</w:t>
      </w:r>
      <w:r>
        <w:rPr>
          <w:rFonts w:ascii="Arial Narrow" w:hAnsi="Arial Narrow"/>
        </w:rPr>
        <w:t>FCS</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77777777"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lastRenderedPageBreak/>
        <w:t>DEROGATIONS AUX DOCUMENTS GÉNÉRAUX</w:t>
      </w:r>
      <w:bookmarkEnd w:id="2"/>
      <w:r w:rsidRPr="00546FE0">
        <w:rPr>
          <w:rFonts w:ascii="Arial Narrow" w:hAnsi="Arial Narrow"/>
          <w:b/>
        </w:rPr>
        <w:t xml:space="preserve"> </w:t>
      </w:r>
    </w:p>
    <w:p w14:paraId="4E0928D4" w14:textId="1A57497E"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w:t>
      </w:r>
      <w:r w:rsidR="0046261F" w:rsidRPr="0046261F">
        <w:rPr>
          <w:rFonts w:ascii="Arial Narrow" w:hAnsi="Arial Narrow"/>
        </w:rPr>
        <w:t xml:space="preserve"> </w:t>
      </w:r>
      <w:r w:rsidR="0046261F">
        <w:rPr>
          <w:rFonts w:ascii="Arial Narrow" w:hAnsi="Arial Narrow"/>
        </w:rPr>
        <w:t>FCS</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FE08C8" w:rsidRDefault="00FE08C8" w:rsidP="00E42FF3">
      <w:pPr>
        <w:spacing w:after="0" w:line="240" w:lineRule="auto"/>
      </w:pPr>
      <w:r>
        <w:separator/>
      </w:r>
    </w:p>
  </w:endnote>
  <w:endnote w:type="continuationSeparator" w:id="0">
    <w:p w14:paraId="0CF3F88F" w14:textId="77777777" w:rsidR="00FE08C8" w:rsidRDefault="00FE08C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3D73F2B3" w:rsidR="00FE08C8" w:rsidRDefault="00FE08C8">
        <w:pPr>
          <w:pStyle w:val="Pieddepage"/>
          <w:jc w:val="right"/>
        </w:pPr>
        <w:r>
          <w:fldChar w:fldCharType="begin"/>
        </w:r>
        <w:r>
          <w:instrText>PAGE   \* MERGEFORMAT</w:instrText>
        </w:r>
        <w:r>
          <w:fldChar w:fldCharType="separate"/>
        </w:r>
        <w:r w:rsidR="00D719F2">
          <w:rPr>
            <w:noProof/>
          </w:rPr>
          <w:t>13</w:t>
        </w:r>
        <w:r>
          <w:fldChar w:fldCharType="end"/>
        </w:r>
      </w:p>
    </w:sdtContent>
  </w:sdt>
  <w:p w14:paraId="1C416107" w14:textId="77777777" w:rsidR="00FE08C8" w:rsidRDefault="00FE08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FE08C8" w:rsidRDefault="00FE08C8" w:rsidP="00E42FF3">
      <w:pPr>
        <w:spacing w:after="0" w:line="240" w:lineRule="auto"/>
      </w:pPr>
      <w:r>
        <w:separator/>
      </w:r>
    </w:p>
  </w:footnote>
  <w:footnote w:type="continuationSeparator" w:id="0">
    <w:p w14:paraId="271F3637" w14:textId="77777777" w:rsidR="00FE08C8" w:rsidRDefault="00FE08C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FE08C8" w14:paraId="58381086" w14:textId="77777777" w:rsidTr="00E42FF3">
      <w:tc>
        <w:tcPr>
          <w:tcW w:w="2725" w:type="dxa"/>
        </w:tcPr>
        <w:p w14:paraId="4CB7F7E7" w14:textId="77777777" w:rsidR="00FE08C8" w:rsidRDefault="00FE08C8"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FE08C8" w:rsidRPr="008B551F" w:rsidRDefault="00FE08C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FE08C8" w:rsidRPr="008B551F" w:rsidRDefault="00FE08C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FE08C8" w:rsidRPr="008B551F" w:rsidRDefault="00FE08C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FE08C8" w:rsidRPr="008B551F" w:rsidRDefault="00FE08C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FE08C8" w:rsidRPr="008B551F" w:rsidRDefault="00FE08C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FE08C8" w:rsidRDefault="00FE08C8" w:rsidP="00E42FF3">
          <w:pPr>
            <w:pStyle w:val="En-tte"/>
            <w:tabs>
              <w:tab w:val="clear" w:pos="4536"/>
              <w:tab w:val="clear" w:pos="9072"/>
              <w:tab w:val="left" w:pos="4635"/>
            </w:tabs>
          </w:pPr>
        </w:p>
      </w:tc>
    </w:tr>
  </w:tbl>
  <w:p w14:paraId="79DED19F" w14:textId="77777777" w:rsidR="00FE08C8" w:rsidRDefault="00FE08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6E6A02"/>
    <w:multiLevelType w:val="multilevel"/>
    <w:tmpl w:val="189A37D2"/>
    <w:lvl w:ilvl="0">
      <w:start w:val="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8238A2"/>
    <w:multiLevelType w:val="hybridMultilevel"/>
    <w:tmpl w:val="DBE8CF60"/>
    <w:lvl w:ilvl="0" w:tplc="05E09A54">
      <w:start w:val="3"/>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9" w15:restartNumberingAfterBreak="0">
    <w:nsid w:val="2FAE4FA5"/>
    <w:multiLevelType w:val="multilevel"/>
    <w:tmpl w:val="8B4456F0"/>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1F2337A"/>
    <w:multiLevelType w:val="hybridMultilevel"/>
    <w:tmpl w:val="243688E6"/>
    <w:lvl w:ilvl="0" w:tplc="173A495A">
      <w:start w:val="1"/>
      <w:numFmt w:val="decimal"/>
      <w:lvlText w:val="1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CA652D"/>
    <w:multiLevelType w:val="hybridMultilevel"/>
    <w:tmpl w:val="0A12A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911DD6"/>
    <w:multiLevelType w:val="multilevel"/>
    <w:tmpl w:val="BF989E96"/>
    <w:lvl w:ilvl="0">
      <w:start w:val="1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B32459"/>
    <w:multiLevelType w:val="hybridMultilevel"/>
    <w:tmpl w:val="192AC312"/>
    <w:lvl w:ilvl="0" w:tplc="0972CDEA">
      <w:start w:val="14"/>
      <w:numFmt w:val="bullet"/>
      <w:pStyle w:val="PuceN1"/>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475290"/>
    <w:multiLevelType w:val="hybridMultilevel"/>
    <w:tmpl w:val="46E2ADE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72394096"/>
    <w:multiLevelType w:val="hybridMultilevel"/>
    <w:tmpl w:val="F4E8EED0"/>
    <w:lvl w:ilvl="0" w:tplc="677EDA4A">
      <w:start w:val="11"/>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3"/>
  </w:num>
  <w:num w:numId="3">
    <w:abstractNumId w:val="20"/>
  </w:num>
  <w:num w:numId="4">
    <w:abstractNumId w:val="5"/>
  </w:num>
  <w:num w:numId="5">
    <w:abstractNumId w:val="12"/>
  </w:num>
  <w:num w:numId="6">
    <w:abstractNumId w:val="0"/>
  </w:num>
  <w:num w:numId="7">
    <w:abstractNumId w:val="18"/>
  </w:num>
  <w:num w:numId="8">
    <w:abstractNumId w:val="13"/>
  </w:num>
  <w:num w:numId="9">
    <w:abstractNumId w:val="8"/>
  </w:num>
  <w:num w:numId="10">
    <w:abstractNumId w:val="15"/>
  </w:num>
  <w:num w:numId="11">
    <w:abstractNumId w:val="1"/>
  </w:num>
  <w:num w:numId="12">
    <w:abstractNumId w:val="17"/>
  </w:num>
  <w:num w:numId="13">
    <w:abstractNumId w:val="14"/>
  </w:num>
  <w:num w:numId="14">
    <w:abstractNumId w:val="10"/>
  </w:num>
  <w:num w:numId="15">
    <w:abstractNumId w:val="16"/>
  </w:num>
  <w:num w:numId="16">
    <w:abstractNumId w:val="26"/>
  </w:num>
  <w:num w:numId="17">
    <w:abstractNumId w:val="6"/>
  </w:num>
  <w:num w:numId="18">
    <w:abstractNumId w:val="22"/>
  </w:num>
  <w:num w:numId="19">
    <w:abstractNumId w:val="11"/>
  </w:num>
  <w:num w:numId="20">
    <w:abstractNumId w:val="19"/>
  </w:num>
  <w:num w:numId="21">
    <w:abstractNumId w:val="2"/>
  </w:num>
  <w:num w:numId="22">
    <w:abstractNumId w:val="23"/>
  </w:num>
  <w:num w:numId="23">
    <w:abstractNumId w:val="24"/>
  </w:num>
  <w:num w:numId="24">
    <w:abstractNumId w:val="4"/>
  </w:num>
  <w:num w:numId="25">
    <w:abstractNumId w:val="7"/>
  </w:num>
  <w:num w:numId="26">
    <w:abstractNumId w:val="9"/>
  </w:num>
  <w:num w:numId="2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7C6"/>
    <w:rsid w:val="00010FF7"/>
    <w:rsid w:val="00013EAA"/>
    <w:rsid w:val="00043D85"/>
    <w:rsid w:val="00054FBE"/>
    <w:rsid w:val="00060059"/>
    <w:rsid w:val="0006022E"/>
    <w:rsid w:val="0006305F"/>
    <w:rsid w:val="0008196D"/>
    <w:rsid w:val="000A20C3"/>
    <w:rsid w:val="000B34BB"/>
    <w:rsid w:val="000B3B70"/>
    <w:rsid w:val="000B52E8"/>
    <w:rsid w:val="000B7422"/>
    <w:rsid w:val="000C10A2"/>
    <w:rsid w:val="000C1EC4"/>
    <w:rsid w:val="000C2784"/>
    <w:rsid w:val="000D0217"/>
    <w:rsid w:val="000D1360"/>
    <w:rsid w:val="000D317C"/>
    <w:rsid w:val="000E1EA4"/>
    <w:rsid w:val="000E7740"/>
    <w:rsid w:val="00106DDC"/>
    <w:rsid w:val="0014540C"/>
    <w:rsid w:val="00165639"/>
    <w:rsid w:val="00180990"/>
    <w:rsid w:val="001B44CB"/>
    <w:rsid w:val="001E2022"/>
    <w:rsid w:val="001F6E69"/>
    <w:rsid w:val="0023402D"/>
    <w:rsid w:val="0024335F"/>
    <w:rsid w:val="00245388"/>
    <w:rsid w:val="0025246C"/>
    <w:rsid w:val="00257918"/>
    <w:rsid w:val="00261EEE"/>
    <w:rsid w:val="00264518"/>
    <w:rsid w:val="00264E15"/>
    <w:rsid w:val="0028050A"/>
    <w:rsid w:val="002900F7"/>
    <w:rsid w:val="002A271C"/>
    <w:rsid w:val="002B10AD"/>
    <w:rsid w:val="002B3680"/>
    <w:rsid w:val="002C5191"/>
    <w:rsid w:val="002D6143"/>
    <w:rsid w:val="002E08C3"/>
    <w:rsid w:val="002E4D87"/>
    <w:rsid w:val="002F4374"/>
    <w:rsid w:val="0030422B"/>
    <w:rsid w:val="00312043"/>
    <w:rsid w:val="00314364"/>
    <w:rsid w:val="00321035"/>
    <w:rsid w:val="00332820"/>
    <w:rsid w:val="00347265"/>
    <w:rsid w:val="00350E5F"/>
    <w:rsid w:val="00360E50"/>
    <w:rsid w:val="00367714"/>
    <w:rsid w:val="003765CC"/>
    <w:rsid w:val="00376A8E"/>
    <w:rsid w:val="003978C9"/>
    <w:rsid w:val="003A3C44"/>
    <w:rsid w:val="003D7C03"/>
    <w:rsid w:val="003F3420"/>
    <w:rsid w:val="003F5F33"/>
    <w:rsid w:val="003F75A3"/>
    <w:rsid w:val="00403F4D"/>
    <w:rsid w:val="00422159"/>
    <w:rsid w:val="00426B67"/>
    <w:rsid w:val="004302A7"/>
    <w:rsid w:val="00456998"/>
    <w:rsid w:val="0046261F"/>
    <w:rsid w:val="00470284"/>
    <w:rsid w:val="004A157C"/>
    <w:rsid w:val="004C5CF1"/>
    <w:rsid w:val="004D0CF2"/>
    <w:rsid w:val="004D156F"/>
    <w:rsid w:val="004E17AD"/>
    <w:rsid w:val="004E3531"/>
    <w:rsid w:val="004F429E"/>
    <w:rsid w:val="005015C4"/>
    <w:rsid w:val="00511388"/>
    <w:rsid w:val="00517AFA"/>
    <w:rsid w:val="00533500"/>
    <w:rsid w:val="005413BD"/>
    <w:rsid w:val="00546FE0"/>
    <w:rsid w:val="005706E9"/>
    <w:rsid w:val="00593CA0"/>
    <w:rsid w:val="00597407"/>
    <w:rsid w:val="00597612"/>
    <w:rsid w:val="005A5DB4"/>
    <w:rsid w:val="005B11C8"/>
    <w:rsid w:val="005B25A9"/>
    <w:rsid w:val="005D1A2E"/>
    <w:rsid w:val="005D555E"/>
    <w:rsid w:val="005E63A7"/>
    <w:rsid w:val="005F1D51"/>
    <w:rsid w:val="006007A4"/>
    <w:rsid w:val="00623F1F"/>
    <w:rsid w:val="0064097D"/>
    <w:rsid w:val="006465DC"/>
    <w:rsid w:val="006528A6"/>
    <w:rsid w:val="00664413"/>
    <w:rsid w:val="00666DD5"/>
    <w:rsid w:val="00674070"/>
    <w:rsid w:val="006A63E0"/>
    <w:rsid w:val="006E196D"/>
    <w:rsid w:val="006E4C40"/>
    <w:rsid w:val="006F00C4"/>
    <w:rsid w:val="006F0B57"/>
    <w:rsid w:val="006F5DB7"/>
    <w:rsid w:val="007221BF"/>
    <w:rsid w:val="007258AA"/>
    <w:rsid w:val="00726545"/>
    <w:rsid w:val="007320DE"/>
    <w:rsid w:val="00737BEB"/>
    <w:rsid w:val="007639B4"/>
    <w:rsid w:val="007663CD"/>
    <w:rsid w:val="007909AC"/>
    <w:rsid w:val="007D159B"/>
    <w:rsid w:val="007E5415"/>
    <w:rsid w:val="0081396B"/>
    <w:rsid w:val="00833A20"/>
    <w:rsid w:val="00836C55"/>
    <w:rsid w:val="00846D60"/>
    <w:rsid w:val="00881588"/>
    <w:rsid w:val="0088306B"/>
    <w:rsid w:val="0088600A"/>
    <w:rsid w:val="00886A9B"/>
    <w:rsid w:val="00891B1A"/>
    <w:rsid w:val="008B1247"/>
    <w:rsid w:val="008B3FC4"/>
    <w:rsid w:val="008B6960"/>
    <w:rsid w:val="00910D6B"/>
    <w:rsid w:val="009122D3"/>
    <w:rsid w:val="009131C5"/>
    <w:rsid w:val="009146C4"/>
    <w:rsid w:val="00983998"/>
    <w:rsid w:val="00990731"/>
    <w:rsid w:val="009B438E"/>
    <w:rsid w:val="009D63CC"/>
    <w:rsid w:val="00A02B17"/>
    <w:rsid w:val="00A118F1"/>
    <w:rsid w:val="00A15E81"/>
    <w:rsid w:val="00A31293"/>
    <w:rsid w:val="00A572A6"/>
    <w:rsid w:val="00A7568E"/>
    <w:rsid w:val="00A82F61"/>
    <w:rsid w:val="00A875C6"/>
    <w:rsid w:val="00A9460E"/>
    <w:rsid w:val="00A94EDC"/>
    <w:rsid w:val="00AA0B91"/>
    <w:rsid w:val="00AA3E07"/>
    <w:rsid w:val="00AD439B"/>
    <w:rsid w:val="00B17100"/>
    <w:rsid w:val="00B42ED3"/>
    <w:rsid w:val="00B52B09"/>
    <w:rsid w:val="00B76727"/>
    <w:rsid w:val="00B76C4A"/>
    <w:rsid w:val="00BD6430"/>
    <w:rsid w:val="00BD7C98"/>
    <w:rsid w:val="00C02FD0"/>
    <w:rsid w:val="00C03737"/>
    <w:rsid w:val="00C0489A"/>
    <w:rsid w:val="00C110CF"/>
    <w:rsid w:val="00C273BA"/>
    <w:rsid w:val="00C34B23"/>
    <w:rsid w:val="00C37C04"/>
    <w:rsid w:val="00C47AC9"/>
    <w:rsid w:val="00C92452"/>
    <w:rsid w:val="00CB1C5D"/>
    <w:rsid w:val="00CC53FF"/>
    <w:rsid w:val="00CC605C"/>
    <w:rsid w:val="00CE4A76"/>
    <w:rsid w:val="00D15584"/>
    <w:rsid w:val="00D17E86"/>
    <w:rsid w:val="00D32F62"/>
    <w:rsid w:val="00D349F1"/>
    <w:rsid w:val="00D524F5"/>
    <w:rsid w:val="00D54280"/>
    <w:rsid w:val="00D56635"/>
    <w:rsid w:val="00D637C9"/>
    <w:rsid w:val="00D6587F"/>
    <w:rsid w:val="00D719F2"/>
    <w:rsid w:val="00D72FEE"/>
    <w:rsid w:val="00D86150"/>
    <w:rsid w:val="00D9355E"/>
    <w:rsid w:val="00DB7A14"/>
    <w:rsid w:val="00DB7D60"/>
    <w:rsid w:val="00DC2FA3"/>
    <w:rsid w:val="00DD4A90"/>
    <w:rsid w:val="00DE2E1A"/>
    <w:rsid w:val="00E15698"/>
    <w:rsid w:val="00E34D67"/>
    <w:rsid w:val="00E42FF3"/>
    <w:rsid w:val="00E536EC"/>
    <w:rsid w:val="00E86FA0"/>
    <w:rsid w:val="00EC2356"/>
    <w:rsid w:val="00EC6141"/>
    <w:rsid w:val="00EE4C36"/>
    <w:rsid w:val="00EE65EC"/>
    <w:rsid w:val="00EF4ED0"/>
    <w:rsid w:val="00F00B40"/>
    <w:rsid w:val="00F03BF9"/>
    <w:rsid w:val="00F065F4"/>
    <w:rsid w:val="00F27C17"/>
    <w:rsid w:val="00F44717"/>
    <w:rsid w:val="00F6320E"/>
    <w:rsid w:val="00F740FC"/>
    <w:rsid w:val="00F74527"/>
    <w:rsid w:val="00F76D55"/>
    <w:rsid w:val="00F802CE"/>
    <w:rsid w:val="00FA3806"/>
    <w:rsid w:val="00FC4A03"/>
    <w:rsid w:val="00FE0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A20"/>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Corpsdetexte3">
    <w:name w:val="Body Text 3"/>
    <w:basedOn w:val="Normal"/>
    <w:link w:val="Corpsdetexte3Car"/>
    <w:uiPriority w:val="99"/>
    <w:unhideWhenUsed/>
    <w:rsid w:val="00517AFA"/>
    <w:pPr>
      <w:spacing w:after="0" w:line="288" w:lineRule="auto"/>
      <w:ind w:right="425"/>
      <w:jc w:val="both"/>
    </w:pPr>
    <w:rPr>
      <w:rFonts w:ascii="Arial Narrow" w:eastAsia="Calibri" w:hAnsi="Arial Narrow" w:cs="Arial"/>
      <w:szCs w:val="18"/>
      <w:lang w:eastAsia="fr-FR"/>
    </w:rPr>
  </w:style>
  <w:style w:type="character" w:customStyle="1" w:styleId="Corpsdetexte3Car">
    <w:name w:val="Corps de texte 3 Car"/>
    <w:basedOn w:val="Policepardfaut"/>
    <w:link w:val="Corpsdetexte3"/>
    <w:uiPriority w:val="99"/>
    <w:rsid w:val="00517AFA"/>
    <w:rPr>
      <w:rFonts w:ascii="Arial Narrow" w:eastAsia="Calibri" w:hAnsi="Arial Narrow" w:cs="Arial"/>
      <w:szCs w:val="18"/>
      <w:lang w:eastAsia="fr-FR"/>
    </w:rPr>
  </w:style>
  <w:style w:type="character" w:customStyle="1" w:styleId="PuceN1Car">
    <w:name w:val="Puce N1 Car"/>
    <w:link w:val="PuceN1"/>
    <w:uiPriority w:val="1"/>
    <w:rsid w:val="006E4C40"/>
    <w:rPr>
      <w:rFonts w:ascii="Corbel" w:eastAsia="Corbel" w:hAnsi="Corbel" w:cs="Corbel"/>
    </w:rPr>
  </w:style>
  <w:style w:type="paragraph" w:customStyle="1" w:styleId="PuceN1">
    <w:name w:val="Puce N1"/>
    <w:basedOn w:val="En-tte"/>
    <w:link w:val="PuceN1Car"/>
    <w:uiPriority w:val="1"/>
    <w:qFormat/>
    <w:rsid w:val="006E4C40"/>
    <w:pPr>
      <w:numPr>
        <w:numId w:val="27"/>
      </w:numPr>
      <w:spacing w:after="120"/>
      <w:jc w:val="both"/>
    </w:pPr>
    <w:rPr>
      <w:rFonts w:ascii="Corbel" w:eastAsia="Corbel" w:hAnsi="Corbel" w:cs="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720205289">
      <w:bodyDiv w:val="1"/>
      <w:marLeft w:val="0"/>
      <w:marRight w:val="0"/>
      <w:marTop w:val="0"/>
      <w:marBottom w:val="0"/>
      <w:divBdr>
        <w:top w:val="none" w:sz="0" w:space="0" w:color="auto"/>
        <w:left w:val="none" w:sz="0" w:space="0" w:color="auto"/>
        <w:bottom w:val="none" w:sz="0" w:space="0" w:color="auto"/>
        <w:right w:val="none" w:sz="0" w:space="0" w:color="auto"/>
      </w:divBdr>
    </w:div>
    <w:div w:id="194576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loda/id/JORFTEXT000038318472/"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437781"/>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88509-2951-4045-B363-9F262022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3675</Words>
  <Characters>20216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2</cp:revision>
  <dcterms:created xsi:type="dcterms:W3CDTF">2025-07-07T15:09:00Z</dcterms:created>
  <dcterms:modified xsi:type="dcterms:W3CDTF">2025-07-07T15:09:00Z</dcterms:modified>
</cp:coreProperties>
</file>